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3E" w:rsidRPr="00DA3262" w:rsidRDefault="00107FE1" w:rsidP="006C2E2F">
      <w:pPr>
        <w:jc w:val="center"/>
        <w:rPr>
          <w:rFonts w:ascii="Times New Roman" w:hAnsi="Times New Roman"/>
          <w:bCs/>
          <w:i/>
          <w:sz w:val="24"/>
        </w:rPr>
      </w:pPr>
      <w:bookmarkStart w:id="0" w:name="OLE_LINK1"/>
      <w:bookmarkStart w:id="1" w:name="OLE_LINK2"/>
      <w:r w:rsidRPr="00DA3262">
        <w:rPr>
          <w:rFonts w:ascii="Times New Roman" w:eastAsia="Arial Unicode MS" w:hAnsi="Times New Roman"/>
          <w:b/>
          <w:sz w:val="24"/>
        </w:rPr>
        <w:t xml:space="preserve">BGC Partners </w:t>
      </w:r>
      <w:r w:rsidR="00276E36">
        <w:rPr>
          <w:rFonts w:ascii="Times New Roman" w:hAnsi="Times New Roman"/>
          <w:b/>
          <w:bCs/>
          <w:sz w:val="24"/>
        </w:rPr>
        <w:t>to Present a</w:t>
      </w:r>
      <w:r w:rsidR="006C2E2F">
        <w:rPr>
          <w:rFonts w:ascii="Times New Roman" w:hAnsi="Times New Roman"/>
          <w:b/>
          <w:bCs/>
          <w:sz w:val="24"/>
        </w:rPr>
        <w:t>t</w:t>
      </w:r>
      <w:r w:rsidR="00CF54A3" w:rsidRPr="00DA3262">
        <w:rPr>
          <w:rFonts w:ascii="Times New Roman" w:hAnsi="Times New Roman"/>
          <w:b/>
          <w:bCs/>
          <w:sz w:val="24"/>
        </w:rPr>
        <w:t xml:space="preserve"> </w:t>
      </w:r>
      <w:bookmarkEnd w:id="0"/>
      <w:bookmarkEnd w:id="1"/>
      <w:r w:rsidR="00324AF6">
        <w:rPr>
          <w:rFonts w:ascii="Times New Roman" w:hAnsi="Times New Roman"/>
          <w:b/>
          <w:bCs/>
          <w:sz w:val="24"/>
        </w:rPr>
        <w:t xml:space="preserve">the </w:t>
      </w:r>
      <w:r w:rsidR="006C2E2F">
        <w:rPr>
          <w:rFonts w:ascii="Times New Roman" w:hAnsi="Times New Roman"/>
          <w:b/>
          <w:bCs/>
          <w:sz w:val="24"/>
        </w:rPr>
        <w:t>KBW Securities Brokerage and Market Structure Conference</w:t>
      </w:r>
    </w:p>
    <w:p w:rsidR="00E95C3E" w:rsidRPr="00DA3262" w:rsidRDefault="00E95C3E" w:rsidP="00F7727E">
      <w:pPr>
        <w:jc w:val="center"/>
        <w:rPr>
          <w:rFonts w:ascii="Times New Roman" w:hAnsi="Times New Roman"/>
          <w:sz w:val="24"/>
        </w:rPr>
      </w:pPr>
    </w:p>
    <w:p w:rsidR="00071470" w:rsidRPr="00DA3262" w:rsidRDefault="00D739A3" w:rsidP="00071470">
      <w:pPr>
        <w:autoSpaceDE w:val="0"/>
        <w:autoSpaceDN w:val="0"/>
        <w:adjustRightInd w:val="0"/>
        <w:rPr>
          <w:rFonts w:ascii="Times New Roman" w:hAnsi="Times New Roman"/>
          <w:sz w:val="24"/>
        </w:rPr>
      </w:pPr>
      <w:r>
        <w:rPr>
          <w:rFonts w:ascii="Times New Roman" w:hAnsi="Times New Roman"/>
          <w:sz w:val="24"/>
        </w:rPr>
        <w:t>NEW YORK – (</w:t>
      </w:r>
      <w:r w:rsidR="006C2E2F">
        <w:rPr>
          <w:rFonts w:ascii="Times New Roman" w:hAnsi="Times New Roman"/>
          <w:sz w:val="24"/>
        </w:rPr>
        <w:t>November</w:t>
      </w:r>
      <w:r w:rsidR="00075AEB">
        <w:rPr>
          <w:rFonts w:ascii="Times New Roman" w:hAnsi="Times New Roman"/>
          <w:sz w:val="24"/>
        </w:rPr>
        <w:t xml:space="preserve"> </w:t>
      </w:r>
      <w:bookmarkStart w:id="2" w:name="_GoBack"/>
      <w:bookmarkEnd w:id="2"/>
      <w:r w:rsidR="006C2E2F">
        <w:rPr>
          <w:rFonts w:ascii="Times New Roman" w:hAnsi="Times New Roman"/>
          <w:sz w:val="24"/>
        </w:rPr>
        <w:t>11</w:t>
      </w:r>
      <w:r w:rsidR="00CA785F">
        <w:rPr>
          <w:rFonts w:ascii="Times New Roman" w:hAnsi="Times New Roman"/>
          <w:sz w:val="24"/>
        </w:rPr>
        <w:t>,</w:t>
      </w:r>
      <w:r>
        <w:rPr>
          <w:rFonts w:ascii="Times New Roman" w:hAnsi="Times New Roman"/>
          <w:sz w:val="24"/>
        </w:rPr>
        <w:t xml:space="preserve"> 2013</w:t>
      </w:r>
      <w:r w:rsidR="00812D05" w:rsidRPr="00812D05">
        <w:rPr>
          <w:rFonts w:ascii="Times New Roman" w:hAnsi="Times New Roman"/>
          <w:sz w:val="24"/>
        </w:rPr>
        <w:t>) -</w:t>
      </w:r>
      <w:r w:rsidR="00812D05" w:rsidRPr="00A24E80">
        <w:rPr>
          <w:rFonts w:ascii="Times New Roman" w:hAnsi="Times New Roman"/>
          <w:sz w:val="24"/>
        </w:rPr>
        <w:t xml:space="preserve">- </w:t>
      </w:r>
      <w:r w:rsidR="006D7733" w:rsidRPr="00C07905">
        <w:rPr>
          <w:rFonts w:ascii="Times New Roman" w:hAnsi="Times New Roman"/>
          <w:color w:val="000000"/>
          <w:sz w:val="24"/>
        </w:rPr>
        <w:t>BGC Partners, Inc. (NASDAQ: BGCP) (“BGC Partners,” “BGC,” or “the Company”), a leading global brokerage company primarily servicing the wholesale financial and real estate markets</w:t>
      </w:r>
      <w:r w:rsidR="00812D05" w:rsidRPr="00C07905">
        <w:rPr>
          <w:rFonts w:ascii="Times New Roman" w:hAnsi="Times New Roman"/>
          <w:sz w:val="24"/>
        </w:rPr>
        <w:t>,</w:t>
      </w:r>
      <w:r w:rsidR="00B25ED7" w:rsidRPr="00C07905">
        <w:rPr>
          <w:rFonts w:ascii="Times New Roman" w:hAnsi="Times New Roman"/>
          <w:sz w:val="24"/>
        </w:rPr>
        <w:t xml:space="preserve"> </w:t>
      </w:r>
      <w:r w:rsidR="0037479B" w:rsidRPr="00C07905">
        <w:rPr>
          <w:rFonts w:ascii="Times New Roman" w:hAnsi="Times New Roman"/>
          <w:sz w:val="24"/>
        </w:rPr>
        <w:t>today</w:t>
      </w:r>
      <w:r w:rsidR="00B25ED7" w:rsidRPr="00A24E80">
        <w:rPr>
          <w:rFonts w:ascii="Times New Roman" w:hAnsi="Times New Roman"/>
          <w:sz w:val="24"/>
        </w:rPr>
        <w:t xml:space="preserve"> </w:t>
      </w:r>
      <w:r w:rsidR="00EF087F" w:rsidRPr="00A24E80">
        <w:rPr>
          <w:rFonts w:ascii="Times New Roman" w:hAnsi="Times New Roman"/>
          <w:sz w:val="24"/>
        </w:rPr>
        <w:t>announced</w:t>
      </w:r>
      <w:r w:rsidR="00B25ED7" w:rsidRPr="00A24E80">
        <w:rPr>
          <w:rFonts w:ascii="Times New Roman" w:hAnsi="Times New Roman"/>
          <w:sz w:val="24"/>
        </w:rPr>
        <w:t xml:space="preserve"> </w:t>
      </w:r>
      <w:r w:rsidR="00F371FB" w:rsidRPr="00A24E80">
        <w:rPr>
          <w:rFonts w:ascii="Times New Roman" w:hAnsi="Times New Roman"/>
          <w:sz w:val="24"/>
        </w:rPr>
        <w:t>that</w:t>
      </w:r>
      <w:r w:rsidR="00B25ED7" w:rsidRPr="00A24E80">
        <w:rPr>
          <w:rFonts w:ascii="Times New Roman" w:hAnsi="Times New Roman"/>
          <w:sz w:val="24"/>
        </w:rPr>
        <w:t xml:space="preserve"> </w:t>
      </w:r>
      <w:r w:rsidR="00924B45">
        <w:rPr>
          <w:rFonts w:ascii="Times New Roman" w:hAnsi="Times New Roman"/>
          <w:sz w:val="24"/>
        </w:rPr>
        <w:t>Howard W. Lutnick, Chairman and Chief Executive Officer, will be presenting to investors at the KBW Securities Brokerage and Market Structure Conference in New York</w:t>
      </w:r>
      <w:r w:rsidR="00CC4265" w:rsidRPr="00A24E80">
        <w:rPr>
          <w:rFonts w:ascii="Times New Roman" w:hAnsi="Times New Roman"/>
          <w:sz w:val="24"/>
        </w:rPr>
        <w:t xml:space="preserve">. </w:t>
      </w:r>
      <w:r w:rsidR="00924B45">
        <w:rPr>
          <w:rFonts w:ascii="Times New Roman" w:hAnsi="Times New Roman"/>
          <w:sz w:val="24"/>
        </w:rPr>
        <w:t>Mr. Lutnick is scheduled to present on Tuesday, November 19</w:t>
      </w:r>
      <w:r w:rsidR="00924B45" w:rsidRPr="00924B45">
        <w:rPr>
          <w:rFonts w:ascii="Times New Roman" w:hAnsi="Times New Roman"/>
          <w:sz w:val="24"/>
          <w:vertAlign w:val="superscript"/>
        </w:rPr>
        <w:t>th</w:t>
      </w:r>
      <w:r w:rsidR="006C2E2F">
        <w:rPr>
          <w:rFonts w:ascii="Times New Roman" w:hAnsi="Times New Roman"/>
          <w:sz w:val="24"/>
        </w:rPr>
        <w:t>, 2013 at 1:45 P.M.</w:t>
      </w:r>
      <w:r w:rsidR="00924B45">
        <w:rPr>
          <w:rFonts w:ascii="Times New Roman" w:hAnsi="Times New Roman"/>
          <w:sz w:val="24"/>
        </w:rPr>
        <w:t xml:space="preserve"> ET. </w:t>
      </w:r>
      <w:r w:rsidR="006C2E2F" w:rsidRPr="006C2E2F">
        <w:rPr>
          <w:rFonts w:ascii="Times New Roman" w:hAnsi="Times New Roman"/>
          <w:sz w:val="24"/>
        </w:rPr>
        <w:t>A webcast of this presentation will be made ac</w:t>
      </w:r>
      <w:r w:rsidR="006C2E2F">
        <w:rPr>
          <w:rFonts w:ascii="Times New Roman" w:hAnsi="Times New Roman"/>
          <w:sz w:val="24"/>
        </w:rPr>
        <w:t>cessible via the following site</w:t>
      </w:r>
      <w:r w:rsidR="00675232">
        <w:rPr>
          <w:rFonts w:ascii="Times New Roman" w:hAnsi="Times New Roman"/>
          <w:sz w:val="24"/>
        </w:rPr>
        <w:t>s</w:t>
      </w:r>
      <w:r w:rsidR="006C2E2F" w:rsidRPr="006C2E2F">
        <w:rPr>
          <w:rFonts w:ascii="Times New Roman" w:hAnsi="Times New Roman"/>
          <w:sz w:val="24"/>
        </w:rPr>
        <w:t>:</w:t>
      </w:r>
      <w:r w:rsidR="006C2E2F">
        <w:rPr>
          <w:rFonts w:ascii="Open Sans" w:hAnsi="Open Sans"/>
          <w:color w:val="000000"/>
          <w:shd w:val="clear" w:color="auto" w:fill="F3F3F5"/>
        </w:rPr>
        <w:t xml:space="preserve"> </w:t>
      </w:r>
    </w:p>
    <w:p w:rsidR="0037479B" w:rsidRPr="00A24E80" w:rsidRDefault="0037479B" w:rsidP="0037479B">
      <w:pPr>
        <w:rPr>
          <w:rFonts w:ascii="Times New Roman" w:hAnsi="Times New Roman"/>
          <w:sz w:val="24"/>
        </w:rPr>
      </w:pPr>
    </w:p>
    <w:p w:rsidR="003D2D4A" w:rsidRDefault="00611CCC" w:rsidP="00071470">
      <w:pPr>
        <w:rPr>
          <w:rStyle w:val="Hyperlink"/>
          <w:rFonts w:ascii="Times New Roman" w:hAnsi="Times New Roman"/>
          <w:color w:val="auto"/>
          <w:sz w:val="24"/>
        </w:rPr>
      </w:pPr>
      <w:r w:rsidRPr="00A24E80">
        <w:rPr>
          <w:rStyle w:val="Hyperlink"/>
          <w:rFonts w:ascii="Times New Roman" w:hAnsi="Times New Roman"/>
          <w:color w:val="auto"/>
          <w:sz w:val="24"/>
        </w:rPr>
        <w:t>http://</w:t>
      </w:r>
      <w:proofErr w:type="gramStart"/>
      <w:r w:rsidRPr="00A24E80">
        <w:rPr>
          <w:rStyle w:val="Hyperlink"/>
          <w:rFonts w:ascii="Times New Roman" w:hAnsi="Times New Roman"/>
          <w:color w:val="auto"/>
          <w:sz w:val="24"/>
        </w:rPr>
        <w:t>ir.bgcpartners.com</w:t>
      </w:r>
      <w:r w:rsidRPr="00675232" w:rsidDel="00611CCC">
        <w:rPr>
          <w:rStyle w:val="Hyperlink"/>
          <w:rFonts w:ascii="Times New Roman" w:hAnsi="Times New Roman"/>
          <w:color w:val="auto"/>
          <w:sz w:val="24"/>
          <w:u w:val="none"/>
        </w:rPr>
        <w:t xml:space="preserve"> </w:t>
      </w:r>
      <w:r w:rsidR="00675232" w:rsidRPr="00675232">
        <w:rPr>
          <w:rStyle w:val="Hyperlink"/>
          <w:rFonts w:ascii="Times New Roman" w:hAnsi="Times New Roman"/>
          <w:color w:val="auto"/>
          <w:sz w:val="24"/>
          <w:u w:val="none"/>
        </w:rPr>
        <w:t xml:space="preserve"> or</w:t>
      </w:r>
      <w:proofErr w:type="gramEnd"/>
      <w:r w:rsidR="00675232" w:rsidRPr="00675232">
        <w:rPr>
          <w:rStyle w:val="Hyperlink"/>
          <w:rFonts w:ascii="Times New Roman" w:hAnsi="Times New Roman"/>
          <w:color w:val="auto"/>
          <w:sz w:val="24"/>
          <w:u w:val="none"/>
        </w:rPr>
        <w:t xml:space="preserve">  </w:t>
      </w:r>
      <w:r w:rsidR="00675232">
        <w:rPr>
          <w:rStyle w:val="Hyperlink"/>
          <w:rFonts w:ascii="Times New Roman" w:hAnsi="Times New Roman"/>
          <w:color w:val="auto"/>
          <w:sz w:val="24"/>
        </w:rPr>
        <w:t>http://wsw.com/webcast/kbw15/BGCP</w:t>
      </w:r>
    </w:p>
    <w:p w:rsidR="006C2E2F" w:rsidRDefault="006C2E2F" w:rsidP="00071470">
      <w:pPr>
        <w:rPr>
          <w:rStyle w:val="Hyperlink"/>
          <w:rFonts w:ascii="Times New Roman" w:hAnsi="Times New Roman"/>
          <w:color w:val="auto"/>
          <w:sz w:val="24"/>
        </w:rPr>
      </w:pPr>
    </w:p>
    <w:p w:rsidR="006C2E2F" w:rsidRPr="006C2E2F" w:rsidRDefault="006C2E2F" w:rsidP="00071470">
      <w:pPr>
        <w:rPr>
          <w:rStyle w:val="Hyperlink"/>
          <w:rFonts w:ascii="Times New Roman" w:hAnsi="Times New Roman"/>
          <w:color w:val="auto"/>
          <w:sz w:val="24"/>
          <w:u w:val="none"/>
        </w:rPr>
      </w:pPr>
      <w:r>
        <w:rPr>
          <w:rStyle w:val="Hyperlink"/>
          <w:rFonts w:ascii="Times New Roman" w:hAnsi="Times New Roman"/>
          <w:color w:val="auto"/>
          <w:sz w:val="24"/>
          <w:u w:val="none"/>
        </w:rPr>
        <w:t xml:space="preserve">The archived </w:t>
      </w:r>
      <w:r w:rsidR="00B60265">
        <w:rPr>
          <w:rStyle w:val="Hyperlink"/>
          <w:rFonts w:ascii="Times New Roman" w:hAnsi="Times New Roman"/>
          <w:color w:val="auto"/>
          <w:sz w:val="24"/>
          <w:u w:val="none"/>
        </w:rPr>
        <w:t xml:space="preserve">webcast will be available </w:t>
      </w:r>
      <w:r w:rsidR="00AC5FC1">
        <w:rPr>
          <w:rStyle w:val="Hyperlink"/>
          <w:rFonts w:ascii="Times New Roman" w:hAnsi="Times New Roman"/>
          <w:color w:val="auto"/>
          <w:sz w:val="24"/>
          <w:u w:val="none"/>
        </w:rPr>
        <w:t xml:space="preserve">for one year </w:t>
      </w:r>
      <w:r w:rsidR="00B60265">
        <w:rPr>
          <w:rStyle w:val="Hyperlink"/>
          <w:rFonts w:ascii="Times New Roman" w:hAnsi="Times New Roman"/>
          <w:color w:val="auto"/>
          <w:sz w:val="24"/>
          <w:u w:val="none"/>
        </w:rPr>
        <w:t>following the presentation</w:t>
      </w:r>
      <w:r w:rsidR="00AC5FC1">
        <w:rPr>
          <w:rStyle w:val="Hyperlink"/>
          <w:rFonts w:ascii="Times New Roman" w:hAnsi="Times New Roman"/>
          <w:color w:val="auto"/>
          <w:sz w:val="24"/>
          <w:u w:val="none"/>
        </w:rPr>
        <w:t>.</w:t>
      </w:r>
    </w:p>
    <w:p w:rsidR="00497177" w:rsidRPr="00DA3262" w:rsidRDefault="00497177" w:rsidP="00497177">
      <w:pPr>
        <w:tabs>
          <w:tab w:val="left" w:pos="1889"/>
        </w:tabs>
        <w:rPr>
          <w:rFonts w:ascii="Times New Roman" w:hAnsi="Times New Roman"/>
          <w:bCs/>
          <w:color w:val="333333"/>
          <w:sz w:val="24"/>
        </w:rPr>
      </w:pPr>
    </w:p>
    <w:p w:rsidR="005B061E" w:rsidRDefault="005B061E" w:rsidP="00F7727E">
      <w:pPr>
        <w:tabs>
          <w:tab w:val="left" w:pos="1440"/>
        </w:tabs>
        <w:rPr>
          <w:rFonts w:ascii="Times New Roman" w:hAnsi="Times New Roman"/>
          <w:sz w:val="24"/>
        </w:rPr>
      </w:pPr>
      <w:r w:rsidRPr="00DA3262">
        <w:rPr>
          <w:rFonts w:ascii="Times New Roman" w:hAnsi="Times New Roman"/>
          <w:sz w:val="24"/>
        </w:rPr>
        <w:t>(Note:</w:t>
      </w:r>
      <w:r w:rsidR="00B25ED7" w:rsidRPr="00DA3262">
        <w:rPr>
          <w:rFonts w:ascii="Times New Roman" w:hAnsi="Times New Roman"/>
          <w:sz w:val="24"/>
        </w:rPr>
        <w:t xml:space="preserve"> </w:t>
      </w:r>
      <w:r w:rsidRPr="00DA3262">
        <w:rPr>
          <w:rFonts w:ascii="Times New Roman" w:hAnsi="Times New Roman"/>
          <w:sz w:val="24"/>
        </w:rPr>
        <w:t>If</w:t>
      </w:r>
      <w:r w:rsidR="00B25ED7" w:rsidRPr="00DA3262">
        <w:rPr>
          <w:rFonts w:ascii="Times New Roman" w:hAnsi="Times New Roman"/>
          <w:sz w:val="24"/>
        </w:rPr>
        <w:t xml:space="preserve"> </w:t>
      </w:r>
      <w:r w:rsidRPr="00DA3262">
        <w:rPr>
          <w:rFonts w:ascii="Times New Roman" w:hAnsi="Times New Roman"/>
          <w:sz w:val="24"/>
        </w:rPr>
        <w:t>clicking</w:t>
      </w:r>
      <w:r w:rsidR="00B25ED7" w:rsidRPr="00DA3262">
        <w:rPr>
          <w:rFonts w:ascii="Times New Roman" w:hAnsi="Times New Roman"/>
          <w:sz w:val="24"/>
        </w:rPr>
        <w:t xml:space="preserve"> </w:t>
      </w:r>
      <w:r w:rsidRPr="00DA3262">
        <w:rPr>
          <w:rFonts w:ascii="Times New Roman" w:hAnsi="Times New Roman"/>
          <w:sz w:val="24"/>
        </w:rPr>
        <w:t>on</w:t>
      </w:r>
      <w:r w:rsidR="00B25ED7" w:rsidRPr="00DA3262">
        <w:rPr>
          <w:rFonts w:ascii="Times New Roman" w:hAnsi="Times New Roman"/>
          <w:sz w:val="24"/>
        </w:rPr>
        <w:t xml:space="preserve"> </w:t>
      </w:r>
      <w:r w:rsidRPr="00DA3262">
        <w:rPr>
          <w:rFonts w:ascii="Times New Roman" w:hAnsi="Times New Roman"/>
          <w:sz w:val="24"/>
        </w:rPr>
        <w:t>the</w:t>
      </w:r>
      <w:r w:rsidR="00B25ED7" w:rsidRPr="00DA3262">
        <w:rPr>
          <w:rFonts w:ascii="Times New Roman" w:hAnsi="Times New Roman"/>
          <w:sz w:val="24"/>
        </w:rPr>
        <w:t xml:space="preserve"> </w:t>
      </w:r>
      <w:r w:rsidRPr="00DA3262">
        <w:rPr>
          <w:rFonts w:ascii="Times New Roman" w:hAnsi="Times New Roman"/>
          <w:sz w:val="24"/>
        </w:rPr>
        <w:t>above</w:t>
      </w:r>
      <w:r w:rsidR="00B25ED7" w:rsidRPr="00DA3262">
        <w:rPr>
          <w:rFonts w:ascii="Times New Roman" w:hAnsi="Times New Roman"/>
          <w:sz w:val="24"/>
        </w:rPr>
        <w:t xml:space="preserve"> </w:t>
      </w:r>
      <w:r w:rsidRPr="00DA3262">
        <w:rPr>
          <w:rFonts w:ascii="Times New Roman" w:hAnsi="Times New Roman"/>
          <w:sz w:val="24"/>
        </w:rPr>
        <w:t>links</w:t>
      </w:r>
      <w:r w:rsidR="00B25ED7" w:rsidRPr="00DA3262">
        <w:rPr>
          <w:rFonts w:ascii="Times New Roman" w:hAnsi="Times New Roman"/>
          <w:sz w:val="24"/>
        </w:rPr>
        <w:t xml:space="preserve"> </w:t>
      </w:r>
      <w:r w:rsidRPr="00DA3262">
        <w:rPr>
          <w:rFonts w:ascii="Times New Roman" w:hAnsi="Times New Roman"/>
          <w:sz w:val="24"/>
        </w:rPr>
        <w:t>does</w:t>
      </w:r>
      <w:r w:rsidR="00B25ED7" w:rsidRPr="00DA3262">
        <w:rPr>
          <w:rFonts w:ascii="Times New Roman" w:hAnsi="Times New Roman"/>
          <w:sz w:val="24"/>
        </w:rPr>
        <w:t xml:space="preserve"> </w:t>
      </w:r>
      <w:r w:rsidRPr="00DA3262">
        <w:rPr>
          <w:rFonts w:ascii="Times New Roman" w:hAnsi="Times New Roman"/>
          <w:sz w:val="24"/>
        </w:rPr>
        <w:t>not</w:t>
      </w:r>
      <w:r w:rsidR="00B25ED7" w:rsidRPr="00DA3262">
        <w:rPr>
          <w:rFonts w:ascii="Times New Roman" w:hAnsi="Times New Roman"/>
          <w:sz w:val="24"/>
        </w:rPr>
        <w:t xml:space="preserve"> </w:t>
      </w:r>
      <w:r w:rsidRPr="00DA3262">
        <w:rPr>
          <w:rFonts w:ascii="Times New Roman" w:hAnsi="Times New Roman"/>
          <w:sz w:val="24"/>
        </w:rPr>
        <w:t>open</w:t>
      </w:r>
      <w:r w:rsidR="00B25ED7" w:rsidRPr="00DA3262">
        <w:rPr>
          <w:rFonts w:ascii="Times New Roman" w:hAnsi="Times New Roman"/>
          <w:sz w:val="24"/>
        </w:rPr>
        <w:t xml:space="preserve"> </w:t>
      </w:r>
      <w:r w:rsidRPr="00DA3262">
        <w:rPr>
          <w:rFonts w:ascii="Times New Roman" w:hAnsi="Times New Roman"/>
          <w:sz w:val="24"/>
        </w:rPr>
        <w:t>up</w:t>
      </w:r>
      <w:r w:rsidR="00B25ED7" w:rsidRPr="00DA3262">
        <w:rPr>
          <w:rFonts w:ascii="Times New Roman" w:hAnsi="Times New Roman"/>
          <w:sz w:val="24"/>
        </w:rPr>
        <w:t xml:space="preserve"> </w:t>
      </w:r>
      <w:r w:rsidRPr="00DA3262">
        <w:rPr>
          <w:rFonts w:ascii="Times New Roman" w:hAnsi="Times New Roman"/>
          <w:sz w:val="24"/>
        </w:rPr>
        <w:t>a</w:t>
      </w:r>
      <w:r w:rsidR="00B25ED7" w:rsidRPr="00DA3262">
        <w:rPr>
          <w:rFonts w:ascii="Times New Roman" w:hAnsi="Times New Roman"/>
          <w:sz w:val="24"/>
        </w:rPr>
        <w:t xml:space="preserve"> </w:t>
      </w:r>
      <w:r w:rsidRPr="00DA3262">
        <w:rPr>
          <w:rFonts w:ascii="Times New Roman" w:hAnsi="Times New Roman"/>
          <w:sz w:val="24"/>
        </w:rPr>
        <w:t>new</w:t>
      </w:r>
      <w:r w:rsidR="00B25ED7" w:rsidRPr="00DA3262">
        <w:rPr>
          <w:rFonts w:ascii="Times New Roman" w:hAnsi="Times New Roman"/>
          <w:sz w:val="24"/>
        </w:rPr>
        <w:t xml:space="preserve"> </w:t>
      </w:r>
      <w:r w:rsidRPr="00DA3262">
        <w:rPr>
          <w:rFonts w:ascii="Times New Roman" w:hAnsi="Times New Roman"/>
          <w:sz w:val="24"/>
        </w:rPr>
        <w:t>web</w:t>
      </w:r>
      <w:r w:rsidR="00B25ED7" w:rsidRPr="00DA3262">
        <w:rPr>
          <w:rFonts w:ascii="Times New Roman" w:hAnsi="Times New Roman"/>
          <w:sz w:val="24"/>
        </w:rPr>
        <w:t xml:space="preserve"> </w:t>
      </w:r>
      <w:r w:rsidRPr="00DA3262">
        <w:rPr>
          <w:rFonts w:ascii="Times New Roman" w:hAnsi="Times New Roman"/>
          <w:sz w:val="24"/>
        </w:rPr>
        <w:t>page,</w:t>
      </w:r>
      <w:r w:rsidR="00B25ED7" w:rsidRPr="00DA3262">
        <w:rPr>
          <w:rFonts w:ascii="Times New Roman" w:hAnsi="Times New Roman"/>
          <w:sz w:val="24"/>
        </w:rPr>
        <w:t xml:space="preserve"> </w:t>
      </w:r>
      <w:r w:rsidRPr="00DA3262">
        <w:rPr>
          <w:rFonts w:ascii="Times New Roman" w:hAnsi="Times New Roman"/>
          <w:sz w:val="24"/>
        </w:rPr>
        <w:t>you</w:t>
      </w:r>
      <w:r w:rsidR="00B25ED7" w:rsidRPr="00DA3262">
        <w:rPr>
          <w:rFonts w:ascii="Times New Roman" w:hAnsi="Times New Roman"/>
          <w:sz w:val="24"/>
        </w:rPr>
        <w:t xml:space="preserve"> </w:t>
      </w:r>
      <w:r w:rsidRPr="00DA3262">
        <w:rPr>
          <w:rFonts w:ascii="Times New Roman" w:hAnsi="Times New Roman"/>
          <w:sz w:val="24"/>
        </w:rPr>
        <w:t>may</w:t>
      </w:r>
      <w:r w:rsidR="00B25ED7" w:rsidRPr="00DA3262">
        <w:rPr>
          <w:rFonts w:ascii="Times New Roman" w:hAnsi="Times New Roman"/>
          <w:sz w:val="24"/>
        </w:rPr>
        <w:t xml:space="preserve"> </w:t>
      </w:r>
      <w:r w:rsidRPr="00DA3262">
        <w:rPr>
          <w:rFonts w:ascii="Times New Roman" w:hAnsi="Times New Roman"/>
          <w:sz w:val="24"/>
        </w:rPr>
        <w:t>need</w:t>
      </w:r>
      <w:r w:rsidR="00B25ED7" w:rsidRPr="00DA3262">
        <w:rPr>
          <w:rFonts w:ascii="Times New Roman" w:hAnsi="Times New Roman"/>
          <w:sz w:val="24"/>
        </w:rPr>
        <w:t xml:space="preserve"> </w:t>
      </w:r>
      <w:r w:rsidRPr="00DA3262">
        <w:rPr>
          <w:rFonts w:ascii="Times New Roman" w:hAnsi="Times New Roman"/>
          <w:sz w:val="24"/>
        </w:rPr>
        <w:t>to</w:t>
      </w:r>
      <w:r w:rsidR="00B25ED7" w:rsidRPr="00DA3262">
        <w:rPr>
          <w:rFonts w:ascii="Times New Roman" w:hAnsi="Times New Roman"/>
          <w:sz w:val="24"/>
        </w:rPr>
        <w:t xml:space="preserve"> </w:t>
      </w:r>
      <w:r w:rsidRPr="00DA3262">
        <w:rPr>
          <w:rFonts w:ascii="Times New Roman" w:hAnsi="Times New Roman"/>
          <w:sz w:val="24"/>
        </w:rPr>
        <w:t>cut</w:t>
      </w:r>
      <w:r w:rsidR="00B25ED7" w:rsidRPr="00DA3262">
        <w:rPr>
          <w:rFonts w:ascii="Times New Roman" w:hAnsi="Times New Roman"/>
          <w:sz w:val="24"/>
        </w:rPr>
        <w:t xml:space="preserve"> </w:t>
      </w:r>
      <w:r w:rsidRPr="00DA3262">
        <w:rPr>
          <w:rFonts w:ascii="Times New Roman" w:hAnsi="Times New Roman"/>
          <w:sz w:val="24"/>
        </w:rPr>
        <w:t>and</w:t>
      </w:r>
      <w:r w:rsidR="00B25ED7" w:rsidRPr="00DA3262">
        <w:rPr>
          <w:rFonts w:ascii="Times New Roman" w:hAnsi="Times New Roman"/>
          <w:sz w:val="24"/>
        </w:rPr>
        <w:t xml:space="preserve"> </w:t>
      </w:r>
      <w:r w:rsidRPr="00DA3262">
        <w:rPr>
          <w:rFonts w:ascii="Times New Roman" w:hAnsi="Times New Roman"/>
          <w:sz w:val="24"/>
        </w:rPr>
        <w:t>paste</w:t>
      </w:r>
      <w:r w:rsidR="00B25ED7" w:rsidRPr="00DA3262">
        <w:rPr>
          <w:rFonts w:ascii="Times New Roman" w:hAnsi="Times New Roman"/>
          <w:sz w:val="24"/>
        </w:rPr>
        <w:t xml:space="preserve"> </w:t>
      </w:r>
      <w:r w:rsidRPr="00DA3262">
        <w:rPr>
          <w:rFonts w:ascii="Times New Roman" w:hAnsi="Times New Roman"/>
          <w:sz w:val="24"/>
        </w:rPr>
        <w:t>the</w:t>
      </w:r>
      <w:r w:rsidR="00B25ED7" w:rsidRPr="00DA3262">
        <w:rPr>
          <w:rFonts w:ascii="Times New Roman" w:hAnsi="Times New Roman"/>
          <w:sz w:val="24"/>
        </w:rPr>
        <w:t xml:space="preserve"> </w:t>
      </w:r>
      <w:r w:rsidRPr="00DA3262">
        <w:rPr>
          <w:rFonts w:ascii="Times New Roman" w:hAnsi="Times New Roman"/>
          <w:sz w:val="24"/>
        </w:rPr>
        <w:t>above</w:t>
      </w:r>
      <w:r w:rsidR="00B25ED7" w:rsidRPr="00DA3262">
        <w:rPr>
          <w:rFonts w:ascii="Times New Roman" w:hAnsi="Times New Roman"/>
          <w:sz w:val="24"/>
        </w:rPr>
        <w:t xml:space="preserve"> </w:t>
      </w:r>
      <w:r w:rsidRPr="00DA3262">
        <w:rPr>
          <w:rFonts w:ascii="Times New Roman" w:hAnsi="Times New Roman"/>
          <w:sz w:val="24"/>
        </w:rPr>
        <w:t>urls</w:t>
      </w:r>
      <w:r w:rsidR="00B25ED7" w:rsidRPr="00DA3262">
        <w:rPr>
          <w:rFonts w:ascii="Times New Roman" w:hAnsi="Times New Roman"/>
          <w:sz w:val="24"/>
        </w:rPr>
        <w:t xml:space="preserve"> </w:t>
      </w:r>
      <w:r w:rsidRPr="00DA3262">
        <w:rPr>
          <w:rFonts w:ascii="Times New Roman" w:hAnsi="Times New Roman"/>
          <w:sz w:val="24"/>
        </w:rPr>
        <w:t>into</w:t>
      </w:r>
      <w:r w:rsidR="00B25ED7" w:rsidRPr="00DA3262">
        <w:rPr>
          <w:rFonts w:ascii="Times New Roman" w:hAnsi="Times New Roman"/>
          <w:sz w:val="24"/>
        </w:rPr>
        <w:t xml:space="preserve"> </w:t>
      </w:r>
      <w:r w:rsidRPr="00DA3262">
        <w:rPr>
          <w:rFonts w:ascii="Times New Roman" w:hAnsi="Times New Roman"/>
          <w:sz w:val="24"/>
        </w:rPr>
        <w:t>your</w:t>
      </w:r>
      <w:r w:rsidR="00B25ED7" w:rsidRPr="00DA3262">
        <w:rPr>
          <w:rFonts w:ascii="Times New Roman" w:hAnsi="Times New Roman"/>
          <w:sz w:val="24"/>
        </w:rPr>
        <w:t xml:space="preserve"> </w:t>
      </w:r>
      <w:r w:rsidRPr="00DA3262">
        <w:rPr>
          <w:rFonts w:ascii="Times New Roman" w:hAnsi="Times New Roman"/>
          <w:sz w:val="24"/>
        </w:rPr>
        <w:t>browser's</w:t>
      </w:r>
      <w:r w:rsidR="00B25ED7" w:rsidRPr="00DA3262">
        <w:rPr>
          <w:rFonts w:ascii="Times New Roman" w:hAnsi="Times New Roman"/>
          <w:sz w:val="24"/>
        </w:rPr>
        <w:t xml:space="preserve"> </w:t>
      </w:r>
      <w:r w:rsidRPr="00DA3262">
        <w:rPr>
          <w:rFonts w:ascii="Times New Roman" w:hAnsi="Times New Roman"/>
          <w:sz w:val="24"/>
        </w:rPr>
        <w:t>address</w:t>
      </w:r>
      <w:r w:rsidR="00B25ED7" w:rsidRPr="00DA3262">
        <w:rPr>
          <w:rFonts w:ascii="Times New Roman" w:hAnsi="Times New Roman"/>
          <w:sz w:val="24"/>
        </w:rPr>
        <w:t xml:space="preserve"> </w:t>
      </w:r>
      <w:r w:rsidRPr="00DA3262">
        <w:rPr>
          <w:rFonts w:ascii="Times New Roman" w:hAnsi="Times New Roman"/>
          <w:sz w:val="24"/>
        </w:rPr>
        <w:t>bar.)</w:t>
      </w:r>
    </w:p>
    <w:p w:rsidR="00E218C5" w:rsidRDefault="00E218C5" w:rsidP="00F7727E">
      <w:pPr>
        <w:tabs>
          <w:tab w:val="left" w:pos="1440"/>
        </w:tabs>
        <w:rPr>
          <w:rFonts w:ascii="Times New Roman" w:hAnsi="Times New Roman"/>
          <w:sz w:val="24"/>
        </w:rPr>
      </w:pPr>
    </w:p>
    <w:p w:rsidR="004C6738" w:rsidRPr="006D7733" w:rsidRDefault="004C6738" w:rsidP="004C6738">
      <w:pPr>
        <w:keepNext/>
        <w:keepLines/>
        <w:autoSpaceDE w:val="0"/>
        <w:autoSpaceDN w:val="0"/>
        <w:adjustRightInd w:val="0"/>
        <w:rPr>
          <w:rFonts w:ascii="Times New Roman" w:hAnsi="Times New Roman"/>
          <w:b/>
          <w:bCs/>
          <w:color w:val="000000"/>
          <w:sz w:val="24"/>
        </w:rPr>
      </w:pPr>
      <w:proofErr w:type="gramStart"/>
      <w:r w:rsidRPr="006D7733">
        <w:rPr>
          <w:rFonts w:ascii="Times New Roman" w:hAnsi="Times New Roman"/>
          <w:b/>
          <w:bCs/>
          <w:color w:val="000000"/>
          <w:sz w:val="24"/>
        </w:rPr>
        <w:t>About BGC Partners, Inc.</w:t>
      </w:r>
      <w:proofErr w:type="gramEnd"/>
    </w:p>
    <w:p w:rsidR="004C6738" w:rsidRPr="006D7733" w:rsidRDefault="004C6738" w:rsidP="004C6738">
      <w:pPr>
        <w:keepNext/>
        <w:keepLines/>
        <w:autoSpaceDE w:val="0"/>
        <w:autoSpaceDN w:val="0"/>
        <w:adjustRightInd w:val="0"/>
        <w:rPr>
          <w:rFonts w:ascii="Times New Roman" w:hAnsi="Times New Roman"/>
          <w:b/>
          <w:bCs/>
          <w:color w:val="000000"/>
          <w:sz w:val="24"/>
        </w:rPr>
      </w:pPr>
    </w:p>
    <w:p w:rsidR="00912754" w:rsidRDefault="006D7733" w:rsidP="00912754">
      <w:pPr>
        <w:autoSpaceDE w:val="0"/>
        <w:autoSpaceDN w:val="0"/>
        <w:adjustRightInd w:val="0"/>
        <w:rPr>
          <w:rFonts w:ascii="Times New Roman" w:hAnsi="Times New Roman"/>
          <w:sz w:val="24"/>
        </w:rPr>
      </w:pPr>
      <w:r w:rsidRPr="006D7733">
        <w:rPr>
          <w:rFonts w:ascii="Times New Roman" w:hAnsi="Times New Roman"/>
          <w:bCs/>
          <w:color w:val="000000"/>
          <w:sz w:val="24"/>
        </w:rPr>
        <w:t xml:space="preserve">BGC Partners is a leading global brokerage company primarily servicing the wholesale financial and real estate markets.  Products include fixed income securities, interest rate swaps, foreign exchange, equities, equity derivatives, credit derivatives, commercial real estate, commodities, futures, and structured products. BGC also provides a wide range of services, including trade execution, broker-dealer services, clearing, processing, information, and other back-office services to a broad range of financial and non-financial institutions.  Through its BGC Trader, and BGC Market Data brands, BGC offers financial technology solutions, market data, and analytics related to select financial instruments and markets.  </w:t>
      </w:r>
      <w:r w:rsidR="00912754">
        <w:rPr>
          <w:rFonts w:ascii="Times New Roman" w:hAnsi="Times New Roman"/>
          <w:sz w:val="24"/>
        </w:rPr>
        <w:t>Through the NGKF brand, the</w:t>
      </w:r>
    </w:p>
    <w:p w:rsidR="00912754" w:rsidRPr="00B23649" w:rsidRDefault="00912754" w:rsidP="00912754">
      <w:pPr>
        <w:autoSpaceDE w:val="0"/>
        <w:autoSpaceDN w:val="0"/>
        <w:adjustRightInd w:val="0"/>
        <w:rPr>
          <w:rFonts w:ascii="Times New Roman" w:hAnsi="Times New Roman"/>
          <w:sz w:val="24"/>
        </w:rPr>
      </w:pPr>
      <w:r>
        <w:rPr>
          <w:rFonts w:ascii="Times New Roman" w:hAnsi="Times New Roman"/>
          <w:sz w:val="24"/>
        </w:rPr>
        <w:t>Company offers a wide range of commercial real estate services including leasing and corporate</w:t>
      </w:r>
    </w:p>
    <w:p w:rsidR="00912754" w:rsidRDefault="00912754" w:rsidP="00912754">
      <w:pPr>
        <w:autoSpaceDE w:val="0"/>
        <w:autoSpaceDN w:val="0"/>
        <w:adjustRightInd w:val="0"/>
        <w:rPr>
          <w:rFonts w:ascii="Times New Roman" w:hAnsi="Times New Roman"/>
          <w:sz w:val="24"/>
        </w:rPr>
      </w:pPr>
      <w:proofErr w:type="gramStart"/>
      <w:r>
        <w:rPr>
          <w:rFonts w:ascii="Times New Roman" w:hAnsi="Times New Roman"/>
          <w:sz w:val="24"/>
        </w:rPr>
        <w:t>advisory</w:t>
      </w:r>
      <w:proofErr w:type="gramEnd"/>
      <w:r>
        <w:rPr>
          <w:rFonts w:ascii="Times New Roman" w:hAnsi="Times New Roman"/>
          <w:sz w:val="24"/>
        </w:rPr>
        <w:t>, investment sales and financial services, consulting, project and development</w:t>
      </w:r>
    </w:p>
    <w:p w:rsidR="006D7733" w:rsidRPr="006D7733" w:rsidRDefault="00912754" w:rsidP="00912754">
      <w:pPr>
        <w:widowControl w:val="0"/>
        <w:jc w:val="both"/>
        <w:rPr>
          <w:rFonts w:ascii="Times New Roman" w:hAnsi="Times New Roman"/>
          <w:bCs/>
          <w:color w:val="000000"/>
          <w:sz w:val="24"/>
        </w:rPr>
      </w:pPr>
      <w:proofErr w:type="gramStart"/>
      <w:r>
        <w:rPr>
          <w:rFonts w:ascii="Times New Roman" w:hAnsi="Times New Roman"/>
          <w:sz w:val="24"/>
        </w:rPr>
        <w:t>management</w:t>
      </w:r>
      <w:proofErr w:type="gramEnd"/>
      <w:r>
        <w:rPr>
          <w:rFonts w:ascii="Times New Roman" w:hAnsi="Times New Roman"/>
          <w:sz w:val="24"/>
        </w:rPr>
        <w:t>, and property and facilities management</w:t>
      </w:r>
      <w:r w:rsidR="006D7733" w:rsidRPr="006D7733">
        <w:rPr>
          <w:rFonts w:ascii="Times New Roman" w:hAnsi="Times New Roman"/>
          <w:bCs/>
          <w:color w:val="000000"/>
          <w:sz w:val="24"/>
        </w:rPr>
        <w:t xml:space="preserve">. BGC’s customers include many of the world’s largest banks, broker-dealers, investment banks, trading firms, hedge funds, governments, corporations, property owners, real estate developers, and investment firms. For more information, please visit www.bgcpartners.com.  </w:t>
      </w:r>
    </w:p>
    <w:p w:rsidR="006D7733" w:rsidRPr="006D7733" w:rsidRDefault="006D7733" w:rsidP="006D7733">
      <w:pPr>
        <w:widowControl w:val="0"/>
        <w:jc w:val="both"/>
        <w:rPr>
          <w:rFonts w:ascii="Times New Roman" w:hAnsi="Times New Roman"/>
          <w:bCs/>
          <w:i/>
          <w:color w:val="000000"/>
          <w:sz w:val="24"/>
        </w:rPr>
      </w:pPr>
    </w:p>
    <w:p w:rsidR="006D7733" w:rsidRPr="006D7733" w:rsidRDefault="006D7733" w:rsidP="006D7733">
      <w:pPr>
        <w:widowControl w:val="0"/>
        <w:jc w:val="both"/>
        <w:rPr>
          <w:rFonts w:ascii="Times New Roman" w:hAnsi="Times New Roman"/>
          <w:bCs/>
          <w:color w:val="000000"/>
          <w:sz w:val="24"/>
        </w:rPr>
      </w:pPr>
      <w:r w:rsidRPr="006D7733">
        <w:rPr>
          <w:rFonts w:ascii="Times New Roman" w:hAnsi="Times New Roman"/>
          <w:bCs/>
          <w:color w:val="000000"/>
          <w:sz w:val="24"/>
        </w:rPr>
        <w:t>BGC, BGC Trader, Grubb &amp; Ellis, Grubb and Newmark</w:t>
      </w:r>
      <w:r w:rsidR="00912754">
        <w:rPr>
          <w:rFonts w:ascii="Times New Roman" w:hAnsi="Times New Roman"/>
          <w:bCs/>
          <w:color w:val="000000"/>
          <w:sz w:val="24"/>
        </w:rPr>
        <w:t xml:space="preserve"> Grub</w:t>
      </w:r>
      <w:r w:rsidR="00856A3B">
        <w:rPr>
          <w:rFonts w:ascii="Times New Roman" w:hAnsi="Times New Roman"/>
          <w:bCs/>
          <w:color w:val="000000"/>
          <w:sz w:val="24"/>
        </w:rPr>
        <w:t>b</w:t>
      </w:r>
      <w:r w:rsidR="00912754">
        <w:rPr>
          <w:rFonts w:ascii="Times New Roman" w:hAnsi="Times New Roman"/>
          <w:bCs/>
          <w:color w:val="000000"/>
          <w:sz w:val="24"/>
        </w:rPr>
        <w:t xml:space="preserve"> </w:t>
      </w:r>
      <w:r w:rsidRPr="006D7733">
        <w:rPr>
          <w:rFonts w:ascii="Times New Roman" w:hAnsi="Times New Roman"/>
          <w:bCs/>
          <w:color w:val="000000"/>
          <w:sz w:val="24"/>
        </w:rPr>
        <w:t>Knight Frank</w:t>
      </w:r>
      <w:r w:rsidR="00912754">
        <w:rPr>
          <w:rFonts w:ascii="Times New Roman" w:hAnsi="Times New Roman"/>
          <w:bCs/>
          <w:color w:val="000000"/>
          <w:sz w:val="24"/>
        </w:rPr>
        <w:t xml:space="preserve"> (NGKF)</w:t>
      </w:r>
      <w:r w:rsidRPr="006D7733">
        <w:rPr>
          <w:rFonts w:ascii="Times New Roman" w:hAnsi="Times New Roman"/>
          <w:bCs/>
          <w:color w:val="000000"/>
          <w:sz w:val="24"/>
        </w:rPr>
        <w:t xml:space="preserve"> are trademarks and service marks of BGC Partners, Inc. and its affiliates.  Knight Frank is a service mark of Knight Frank Limited Corp., used with permission.</w:t>
      </w:r>
    </w:p>
    <w:p w:rsidR="006D7733" w:rsidRPr="006D7733" w:rsidRDefault="006D7733" w:rsidP="006D7733">
      <w:pPr>
        <w:widowControl w:val="0"/>
        <w:jc w:val="both"/>
        <w:rPr>
          <w:rFonts w:ascii="Times New Roman" w:hAnsi="Times New Roman"/>
          <w:i/>
          <w:color w:val="000000"/>
          <w:sz w:val="24"/>
        </w:rPr>
      </w:pPr>
    </w:p>
    <w:p w:rsidR="006D7733" w:rsidRDefault="006D7733" w:rsidP="006D7733">
      <w:pPr>
        <w:widowControl w:val="0"/>
        <w:jc w:val="both"/>
        <w:rPr>
          <w:rFonts w:ascii="Times New Roman" w:hAnsi="Times New Roman"/>
          <w:b/>
          <w:color w:val="000000"/>
          <w:sz w:val="24"/>
        </w:rPr>
      </w:pPr>
      <w:r w:rsidRPr="006D7733">
        <w:rPr>
          <w:rFonts w:ascii="Times New Roman" w:hAnsi="Times New Roman"/>
          <w:b/>
          <w:color w:val="000000"/>
          <w:sz w:val="24"/>
        </w:rPr>
        <w:t xml:space="preserve">Discussion of Forward-Looking Statements by BGC Partners </w:t>
      </w:r>
    </w:p>
    <w:p w:rsidR="006D7733" w:rsidRPr="006D7733" w:rsidRDefault="006D7733" w:rsidP="006D7733">
      <w:pPr>
        <w:widowControl w:val="0"/>
        <w:jc w:val="both"/>
        <w:rPr>
          <w:rFonts w:ascii="Times New Roman" w:hAnsi="Times New Roman"/>
          <w:b/>
          <w:color w:val="000000"/>
          <w:sz w:val="24"/>
        </w:rPr>
      </w:pPr>
    </w:p>
    <w:p w:rsidR="00912754" w:rsidRDefault="006D7733" w:rsidP="006D7733">
      <w:pPr>
        <w:widowControl w:val="0"/>
        <w:rPr>
          <w:rFonts w:ascii="Times New Roman" w:hAnsi="Times New Roman"/>
          <w:color w:val="000000"/>
          <w:sz w:val="24"/>
        </w:rPr>
      </w:pPr>
      <w:r w:rsidRPr="006D7733">
        <w:rPr>
          <w:rFonts w:ascii="Times New Roman" w:hAnsi="Times New Roman"/>
          <w:color w:val="000000"/>
          <w:sz w:val="24"/>
        </w:rPr>
        <w:t xml:space="preserve">Statements in this document regarding BGC Partners’ business that are not historical facts are forward-looking statements that involve risks and uncertainties. </w:t>
      </w:r>
      <w:proofErr w:type="gramStart"/>
      <w:r w:rsidRPr="006D7733">
        <w:rPr>
          <w:rFonts w:ascii="Times New Roman" w:hAnsi="Times New Roman"/>
          <w:color w:val="000000"/>
          <w:sz w:val="24"/>
        </w:rPr>
        <w:t>Except as required by law, BGC undertakes no obligation to release any revisions to any forward-looking statements.</w:t>
      </w:r>
      <w:proofErr w:type="gramEnd"/>
      <w:r w:rsidRPr="006D7733">
        <w:rPr>
          <w:rFonts w:ascii="Times New Roman" w:hAnsi="Times New Roman"/>
          <w:color w:val="000000"/>
          <w:sz w:val="24"/>
        </w:rPr>
        <w:t xml:space="preserve">  For a discussion of additional risks and uncertainties, which could cause actual results to differ from </w:t>
      </w:r>
      <w:r w:rsidRPr="006D7733">
        <w:rPr>
          <w:rFonts w:ascii="Times New Roman" w:hAnsi="Times New Roman"/>
          <w:color w:val="000000"/>
          <w:sz w:val="24"/>
        </w:rPr>
        <w:lastRenderedPageBreak/>
        <w:t xml:space="preserve">those contained in the forward-looking statements, see BGC’s Securities and Exchange Commission filings, including, but not limited to, the risk factors set forth in our public filings, including our most recent Form 10-K and any updates to such risk factors contained in subsequent Form 10-Q or Form 8-K filings.  </w:t>
      </w:r>
    </w:p>
    <w:p w:rsidR="00912754" w:rsidRPr="006D7733" w:rsidRDefault="00912754" w:rsidP="006D7733">
      <w:pPr>
        <w:widowControl w:val="0"/>
        <w:rPr>
          <w:rFonts w:ascii="Times New Roman" w:hAnsi="Times New Roman"/>
          <w:color w:val="000000"/>
          <w:sz w:val="24"/>
        </w:rPr>
      </w:pPr>
    </w:p>
    <w:p w:rsidR="00080BA3" w:rsidRPr="00DA3262" w:rsidRDefault="00080BA3" w:rsidP="00080BA3">
      <w:pPr>
        <w:keepNext/>
        <w:keepLines/>
        <w:autoSpaceDE w:val="0"/>
        <w:autoSpaceDN w:val="0"/>
        <w:adjustRightInd w:val="0"/>
        <w:rPr>
          <w:rFonts w:ascii="Times New Roman" w:hAnsi="Times New Roman"/>
          <w:b/>
          <w:sz w:val="24"/>
        </w:rPr>
      </w:pPr>
    </w:p>
    <w:p w:rsidR="00080BA3" w:rsidRPr="00DA3262" w:rsidRDefault="00080BA3" w:rsidP="00080BA3">
      <w:pPr>
        <w:keepNext/>
        <w:keepLines/>
        <w:autoSpaceDE w:val="0"/>
        <w:autoSpaceDN w:val="0"/>
        <w:adjustRightInd w:val="0"/>
        <w:rPr>
          <w:rFonts w:ascii="Times New Roman" w:hAnsi="Times New Roman"/>
          <w:b/>
          <w:sz w:val="24"/>
        </w:rPr>
      </w:pPr>
      <w:r w:rsidRPr="00DA3262">
        <w:rPr>
          <w:rFonts w:ascii="Times New Roman" w:hAnsi="Times New Roman"/>
          <w:b/>
          <w:sz w:val="24"/>
        </w:rPr>
        <w:t>CONTACTS</w:t>
      </w:r>
    </w:p>
    <w:tbl>
      <w:tblPr>
        <w:tblW w:w="13364" w:type="dxa"/>
        <w:tblLook w:val="01E0" w:firstRow="1" w:lastRow="1" w:firstColumn="1" w:lastColumn="1" w:noHBand="0" w:noVBand="0"/>
      </w:tblPr>
      <w:tblGrid>
        <w:gridCol w:w="3341"/>
        <w:gridCol w:w="3341"/>
        <w:gridCol w:w="3341"/>
        <w:gridCol w:w="3341"/>
      </w:tblGrid>
      <w:tr w:rsidR="00080BA3" w:rsidRPr="00DA3262" w:rsidTr="00B55D83">
        <w:tc>
          <w:tcPr>
            <w:tcW w:w="3341" w:type="dxa"/>
          </w:tcPr>
          <w:p w:rsidR="00080BA3" w:rsidRPr="00DA3262" w:rsidRDefault="00080BA3" w:rsidP="00B55D83">
            <w:pPr>
              <w:keepNext/>
              <w:keepLines/>
              <w:jc w:val="both"/>
              <w:rPr>
                <w:rFonts w:ascii="Times New Roman" w:hAnsi="Times New Roman"/>
                <w:b/>
                <w:color w:val="000000"/>
                <w:sz w:val="24"/>
                <w:u w:val="single"/>
              </w:rPr>
            </w:pPr>
            <w:r w:rsidRPr="00DA3262">
              <w:rPr>
                <w:rFonts w:ascii="Times New Roman" w:hAnsi="Times New Roman"/>
                <w:b/>
                <w:color w:val="000000"/>
                <w:sz w:val="24"/>
                <w:u w:val="single"/>
              </w:rPr>
              <w:t>Media:</w:t>
            </w:r>
          </w:p>
          <w:p w:rsidR="00080BA3" w:rsidRPr="00DA3262" w:rsidRDefault="003650DD" w:rsidP="00B55D83">
            <w:pPr>
              <w:keepNext/>
              <w:keepLines/>
              <w:jc w:val="both"/>
              <w:rPr>
                <w:rFonts w:ascii="Times New Roman" w:hAnsi="Times New Roman"/>
                <w:color w:val="000000"/>
                <w:sz w:val="24"/>
              </w:rPr>
            </w:pPr>
            <w:r w:rsidRPr="00DA3262">
              <w:rPr>
                <w:rFonts w:ascii="Times New Roman" w:hAnsi="Times New Roman"/>
                <w:color w:val="000000"/>
                <w:sz w:val="24"/>
              </w:rPr>
              <w:t>Hannah Sloane</w:t>
            </w:r>
          </w:p>
          <w:p w:rsidR="00080BA3" w:rsidRPr="00DA3262" w:rsidRDefault="003650DD" w:rsidP="00B55D83">
            <w:pPr>
              <w:keepNext/>
              <w:keepLines/>
              <w:jc w:val="both"/>
              <w:rPr>
                <w:rFonts w:ascii="Times New Roman" w:hAnsi="Times New Roman"/>
                <w:color w:val="000000"/>
                <w:sz w:val="24"/>
              </w:rPr>
            </w:pPr>
            <w:r w:rsidRPr="00DA3262">
              <w:rPr>
                <w:rFonts w:ascii="Times New Roman" w:hAnsi="Times New Roman"/>
                <w:color w:val="000000"/>
                <w:sz w:val="24"/>
              </w:rPr>
              <w:t>212-294-7938</w:t>
            </w:r>
          </w:p>
          <w:p w:rsidR="00080BA3" w:rsidRPr="00DA3262" w:rsidRDefault="00080BA3" w:rsidP="00B55D83">
            <w:pPr>
              <w:keepNext/>
              <w:keepLines/>
              <w:rPr>
                <w:rFonts w:ascii="Times New Roman" w:hAnsi="Times New Roman"/>
                <w:b/>
                <w:sz w:val="24"/>
                <w:u w:val="single"/>
              </w:rPr>
            </w:pPr>
          </w:p>
          <w:p w:rsidR="00812D05" w:rsidRPr="00812D05" w:rsidRDefault="00812D05" w:rsidP="00812D05">
            <w:pPr>
              <w:keepNext/>
              <w:keepLines/>
              <w:rPr>
                <w:rFonts w:ascii="Times New Roman" w:hAnsi="Times New Roman"/>
                <w:sz w:val="24"/>
              </w:rPr>
            </w:pPr>
            <w:r w:rsidRPr="00812D05">
              <w:rPr>
                <w:rFonts w:ascii="Times New Roman" w:hAnsi="Times New Roman"/>
                <w:sz w:val="24"/>
              </w:rPr>
              <w:t>Sarah Laufer</w:t>
            </w:r>
          </w:p>
          <w:p w:rsidR="00080BA3" w:rsidRPr="00DA3262" w:rsidRDefault="00812D05" w:rsidP="00812D05">
            <w:pPr>
              <w:keepNext/>
              <w:keepLines/>
              <w:rPr>
                <w:rFonts w:ascii="Times New Roman" w:hAnsi="Times New Roman"/>
                <w:sz w:val="24"/>
              </w:rPr>
            </w:pPr>
            <w:r w:rsidRPr="00812D05">
              <w:rPr>
                <w:rFonts w:ascii="Times New Roman" w:hAnsi="Times New Roman"/>
                <w:sz w:val="24"/>
              </w:rPr>
              <w:t>212-915-1008</w:t>
            </w:r>
          </w:p>
          <w:p w:rsidR="00080BA3" w:rsidRPr="00DA3262" w:rsidRDefault="00080BA3" w:rsidP="00B55D83">
            <w:pPr>
              <w:keepNext/>
              <w:keepLines/>
              <w:rPr>
                <w:rFonts w:ascii="Times New Roman" w:hAnsi="Times New Roman"/>
                <w:b/>
                <w:color w:val="000000"/>
                <w:sz w:val="24"/>
                <w:u w:val="single"/>
              </w:rPr>
            </w:pPr>
          </w:p>
        </w:tc>
        <w:tc>
          <w:tcPr>
            <w:tcW w:w="3341" w:type="dxa"/>
          </w:tcPr>
          <w:p w:rsidR="00080BA3" w:rsidRPr="00DA3262" w:rsidRDefault="00080BA3" w:rsidP="00B55D83">
            <w:pPr>
              <w:keepNext/>
              <w:keepLines/>
              <w:jc w:val="both"/>
              <w:rPr>
                <w:rFonts w:ascii="Times New Roman" w:hAnsi="Times New Roman"/>
                <w:b/>
                <w:color w:val="000000"/>
                <w:sz w:val="24"/>
                <w:u w:val="single"/>
              </w:rPr>
            </w:pPr>
            <w:r w:rsidRPr="00DA3262">
              <w:rPr>
                <w:rFonts w:ascii="Times New Roman" w:hAnsi="Times New Roman"/>
                <w:b/>
                <w:color w:val="000000"/>
                <w:sz w:val="24"/>
                <w:u w:val="single"/>
              </w:rPr>
              <w:t>Investors:</w:t>
            </w:r>
          </w:p>
          <w:p w:rsidR="00900CD0" w:rsidRPr="00DA3262" w:rsidRDefault="00C07905" w:rsidP="00900CD0">
            <w:pPr>
              <w:keepNext/>
              <w:keepLines/>
              <w:jc w:val="both"/>
              <w:rPr>
                <w:rFonts w:ascii="Times New Roman" w:hAnsi="Times New Roman"/>
                <w:color w:val="000000"/>
                <w:sz w:val="24"/>
              </w:rPr>
            </w:pPr>
            <w:r>
              <w:rPr>
                <w:rFonts w:ascii="Times New Roman" w:hAnsi="Times New Roman"/>
                <w:color w:val="000000"/>
                <w:sz w:val="24"/>
              </w:rPr>
              <w:t>Jason Chryssicas</w:t>
            </w:r>
          </w:p>
          <w:p w:rsidR="00900CD0" w:rsidRPr="00DA3262" w:rsidRDefault="00C07905" w:rsidP="00900CD0">
            <w:pPr>
              <w:keepNext/>
              <w:keepLines/>
              <w:jc w:val="both"/>
              <w:rPr>
                <w:rFonts w:ascii="Times New Roman" w:hAnsi="Times New Roman"/>
                <w:color w:val="000000"/>
                <w:sz w:val="24"/>
              </w:rPr>
            </w:pPr>
            <w:r>
              <w:rPr>
                <w:rFonts w:ascii="Times New Roman" w:hAnsi="Times New Roman"/>
                <w:color w:val="000000"/>
                <w:sz w:val="24"/>
              </w:rPr>
              <w:t>212-915-1987</w:t>
            </w:r>
          </w:p>
          <w:p w:rsidR="00080BA3" w:rsidRPr="00DA3262" w:rsidRDefault="00080BA3" w:rsidP="00B55D83">
            <w:pPr>
              <w:keepNext/>
              <w:keepLines/>
              <w:jc w:val="both"/>
              <w:rPr>
                <w:rFonts w:ascii="Times New Roman" w:hAnsi="Times New Roman"/>
                <w:color w:val="000000"/>
                <w:sz w:val="24"/>
              </w:rPr>
            </w:pPr>
          </w:p>
          <w:p w:rsidR="00C07905" w:rsidRPr="00DA3262" w:rsidRDefault="00C07905" w:rsidP="00C07905">
            <w:pPr>
              <w:keepNext/>
              <w:keepLines/>
              <w:jc w:val="both"/>
              <w:rPr>
                <w:rFonts w:ascii="Times New Roman" w:hAnsi="Times New Roman"/>
                <w:color w:val="000000"/>
                <w:sz w:val="24"/>
              </w:rPr>
            </w:pPr>
            <w:r w:rsidRPr="00DA3262">
              <w:rPr>
                <w:rFonts w:ascii="Times New Roman" w:hAnsi="Times New Roman"/>
                <w:color w:val="000000"/>
                <w:sz w:val="24"/>
              </w:rPr>
              <w:t>Jason McGruder</w:t>
            </w:r>
          </w:p>
          <w:p w:rsidR="00C07905" w:rsidRPr="00DA3262" w:rsidRDefault="00C07905" w:rsidP="00C07905">
            <w:pPr>
              <w:keepNext/>
              <w:keepLines/>
              <w:jc w:val="both"/>
              <w:rPr>
                <w:rFonts w:ascii="Times New Roman" w:hAnsi="Times New Roman"/>
                <w:color w:val="000000"/>
                <w:sz w:val="24"/>
              </w:rPr>
            </w:pPr>
            <w:r w:rsidRPr="00DA3262">
              <w:rPr>
                <w:rFonts w:ascii="Times New Roman" w:hAnsi="Times New Roman"/>
                <w:color w:val="000000"/>
                <w:sz w:val="24"/>
              </w:rPr>
              <w:t>212-829-4988</w:t>
            </w:r>
          </w:p>
          <w:p w:rsidR="00080BA3" w:rsidRPr="00DA3262" w:rsidRDefault="00080BA3" w:rsidP="00B55D83">
            <w:pPr>
              <w:keepNext/>
              <w:keepLines/>
              <w:jc w:val="both"/>
              <w:rPr>
                <w:rFonts w:ascii="Times New Roman" w:hAnsi="Times New Roman"/>
                <w:color w:val="000000"/>
                <w:sz w:val="24"/>
                <w:u w:val="single"/>
              </w:rPr>
            </w:pPr>
          </w:p>
          <w:p w:rsidR="00080BA3" w:rsidRPr="00DA3262" w:rsidRDefault="00080BA3" w:rsidP="00B55D83">
            <w:pPr>
              <w:keepNext/>
              <w:keepLines/>
              <w:autoSpaceDE w:val="0"/>
              <w:autoSpaceDN w:val="0"/>
              <w:adjustRightInd w:val="0"/>
              <w:jc w:val="both"/>
              <w:rPr>
                <w:rFonts w:ascii="Times New Roman" w:hAnsi="Times New Roman"/>
                <w:color w:val="000000"/>
                <w:sz w:val="24"/>
                <w:u w:val="single"/>
              </w:rPr>
            </w:pPr>
          </w:p>
        </w:tc>
        <w:tc>
          <w:tcPr>
            <w:tcW w:w="3341" w:type="dxa"/>
          </w:tcPr>
          <w:p w:rsidR="00080BA3" w:rsidRPr="00DA3262" w:rsidRDefault="00080BA3" w:rsidP="00B55D83">
            <w:pPr>
              <w:keepNext/>
              <w:keepLines/>
              <w:autoSpaceDE w:val="0"/>
              <w:autoSpaceDN w:val="0"/>
              <w:adjustRightInd w:val="0"/>
              <w:rPr>
                <w:rFonts w:ascii="Times New Roman" w:hAnsi="Times New Roman"/>
                <w:sz w:val="24"/>
              </w:rPr>
            </w:pPr>
          </w:p>
        </w:tc>
        <w:tc>
          <w:tcPr>
            <w:tcW w:w="3341" w:type="dxa"/>
          </w:tcPr>
          <w:p w:rsidR="00080BA3" w:rsidRPr="00DA3262" w:rsidRDefault="00080BA3" w:rsidP="00B55D83">
            <w:pPr>
              <w:keepNext/>
              <w:keepLines/>
              <w:rPr>
                <w:rFonts w:ascii="Times New Roman" w:hAnsi="Times New Roman"/>
                <w:sz w:val="24"/>
              </w:rPr>
            </w:pPr>
          </w:p>
        </w:tc>
      </w:tr>
    </w:tbl>
    <w:p w:rsidR="00A6572D" w:rsidRPr="00DA3262" w:rsidRDefault="00146B9B" w:rsidP="00146B9B">
      <w:pPr>
        <w:widowControl w:val="0"/>
        <w:autoSpaceDE w:val="0"/>
        <w:autoSpaceDN w:val="0"/>
        <w:adjustRightInd w:val="0"/>
        <w:jc w:val="center"/>
        <w:rPr>
          <w:rFonts w:ascii="Times New Roman" w:hAnsi="Times New Roman"/>
          <w:sz w:val="24"/>
        </w:rPr>
      </w:pPr>
      <w:r w:rsidRPr="00DA3262">
        <w:rPr>
          <w:rFonts w:ascii="Times New Roman" w:hAnsi="Times New Roman"/>
          <w:sz w:val="24"/>
        </w:rPr>
        <w:t>##</w:t>
      </w:r>
    </w:p>
    <w:sectPr w:rsidR="00A6572D" w:rsidRPr="00DA3262" w:rsidSect="004D7BCB">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1C" w:rsidRDefault="0008701C">
      <w:r>
        <w:separator/>
      </w:r>
    </w:p>
  </w:endnote>
  <w:endnote w:type="continuationSeparator" w:id="0">
    <w:p w:rsidR="0008701C" w:rsidRDefault="0008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1C" w:rsidRDefault="0008701C">
      <w:r>
        <w:separator/>
      </w:r>
    </w:p>
  </w:footnote>
  <w:footnote w:type="continuationSeparator" w:id="0">
    <w:p w:rsidR="0008701C" w:rsidRDefault="00087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CCC" w:rsidRPr="001A4CD2" w:rsidRDefault="00611CCC" w:rsidP="00D23B78">
    <w:pPr>
      <w:pStyle w:val="Header"/>
      <w:rPr>
        <w:rFonts w:ascii="Times New Roman" w:hAnsi="Times New Roman"/>
      </w:rPr>
    </w:pPr>
    <w:r>
      <w:rPr>
        <w:rFonts w:ascii="Times New Roman" w:hAnsi="Times New Roman"/>
        <w:noProof/>
      </w:rPr>
      <w:drawing>
        <wp:inline distT="0" distB="0" distL="0" distR="0">
          <wp:extent cx="1099185" cy="545465"/>
          <wp:effectExtent l="19050" t="0" r="5715" b="0"/>
          <wp:docPr id="1" name="Picture 1" descr="BGC_Logo_on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_Logo_on_white"/>
                  <pic:cNvPicPr>
                    <a:picLocks noChangeAspect="1" noChangeArrowheads="1"/>
                  </pic:cNvPicPr>
                </pic:nvPicPr>
                <pic:blipFill>
                  <a:blip r:embed="rId1"/>
                  <a:srcRect/>
                  <a:stretch>
                    <a:fillRect/>
                  </a:stretch>
                </pic:blipFill>
                <pic:spPr bwMode="auto">
                  <a:xfrm>
                    <a:off x="0" y="0"/>
                    <a:ext cx="1099185" cy="545465"/>
                  </a:xfrm>
                  <a:prstGeom prst="rect">
                    <a:avLst/>
                  </a:prstGeom>
                  <a:noFill/>
                  <a:ln w="9525">
                    <a:noFill/>
                    <a:miter lim="800000"/>
                    <a:headEnd/>
                    <a:tailEnd/>
                  </a:ln>
                </pic:spPr>
              </pic:pic>
            </a:graphicData>
          </a:graphic>
        </wp:inline>
      </w:drawing>
    </w:r>
  </w:p>
  <w:p w:rsidR="00611CCC" w:rsidRPr="008F75C4" w:rsidRDefault="00611CCC" w:rsidP="008F75C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A19FD"/>
    <w:multiLevelType w:val="hybridMultilevel"/>
    <w:tmpl w:val="612088E0"/>
    <w:lvl w:ilvl="0" w:tplc="C7E41F7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9B"/>
    <w:rsid w:val="00002FFF"/>
    <w:rsid w:val="0000556A"/>
    <w:rsid w:val="000070C2"/>
    <w:rsid w:val="00013F05"/>
    <w:rsid w:val="00020C3E"/>
    <w:rsid w:val="00021900"/>
    <w:rsid w:val="000240CD"/>
    <w:rsid w:val="00026C76"/>
    <w:rsid w:val="00027926"/>
    <w:rsid w:val="00027D14"/>
    <w:rsid w:val="00030076"/>
    <w:rsid w:val="00036272"/>
    <w:rsid w:val="00044019"/>
    <w:rsid w:val="00046627"/>
    <w:rsid w:val="00051CF6"/>
    <w:rsid w:val="00054B87"/>
    <w:rsid w:val="000569FA"/>
    <w:rsid w:val="00066556"/>
    <w:rsid w:val="00066BA4"/>
    <w:rsid w:val="00067F3E"/>
    <w:rsid w:val="00071470"/>
    <w:rsid w:val="00071C0A"/>
    <w:rsid w:val="00075AEB"/>
    <w:rsid w:val="00076381"/>
    <w:rsid w:val="00080BA3"/>
    <w:rsid w:val="0008701C"/>
    <w:rsid w:val="00091489"/>
    <w:rsid w:val="000947E6"/>
    <w:rsid w:val="00094EB5"/>
    <w:rsid w:val="00096F40"/>
    <w:rsid w:val="000A09C6"/>
    <w:rsid w:val="000A3D26"/>
    <w:rsid w:val="000A4010"/>
    <w:rsid w:val="000A4822"/>
    <w:rsid w:val="000B1A6A"/>
    <w:rsid w:val="000B43C9"/>
    <w:rsid w:val="000B6893"/>
    <w:rsid w:val="000B7695"/>
    <w:rsid w:val="000C0797"/>
    <w:rsid w:val="000C2345"/>
    <w:rsid w:val="000C2531"/>
    <w:rsid w:val="000C3484"/>
    <w:rsid w:val="000C491C"/>
    <w:rsid w:val="000C4B4C"/>
    <w:rsid w:val="000C6213"/>
    <w:rsid w:val="000C733A"/>
    <w:rsid w:val="000D0258"/>
    <w:rsid w:val="000D23BD"/>
    <w:rsid w:val="000D44C9"/>
    <w:rsid w:val="000D4916"/>
    <w:rsid w:val="000D7B8A"/>
    <w:rsid w:val="000E3577"/>
    <w:rsid w:val="000E42B3"/>
    <w:rsid w:val="000F59F6"/>
    <w:rsid w:val="00102F6D"/>
    <w:rsid w:val="00107FE1"/>
    <w:rsid w:val="00110A59"/>
    <w:rsid w:val="0011179E"/>
    <w:rsid w:val="00112C2B"/>
    <w:rsid w:val="00114D6D"/>
    <w:rsid w:val="001154CB"/>
    <w:rsid w:val="001255F6"/>
    <w:rsid w:val="00130598"/>
    <w:rsid w:val="00130654"/>
    <w:rsid w:val="00135671"/>
    <w:rsid w:val="00146627"/>
    <w:rsid w:val="00146B9B"/>
    <w:rsid w:val="00151B39"/>
    <w:rsid w:val="001542F1"/>
    <w:rsid w:val="00155B00"/>
    <w:rsid w:val="001738F3"/>
    <w:rsid w:val="00176631"/>
    <w:rsid w:val="0018181A"/>
    <w:rsid w:val="00183E8E"/>
    <w:rsid w:val="00190089"/>
    <w:rsid w:val="0019250E"/>
    <w:rsid w:val="00192F1E"/>
    <w:rsid w:val="00194FDD"/>
    <w:rsid w:val="001A1A4C"/>
    <w:rsid w:val="001A20EC"/>
    <w:rsid w:val="001A2827"/>
    <w:rsid w:val="001A4CD2"/>
    <w:rsid w:val="001A7892"/>
    <w:rsid w:val="001D1B90"/>
    <w:rsid w:val="001D5D76"/>
    <w:rsid w:val="001D6022"/>
    <w:rsid w:val="001E03D0"/>
    <w:rsid w:val="001E6F0C"/>
    <w:rsid w:val="001F57DC"/>
    <w:rsid w:val="001F7903"/>
    <w:rsid w:val="00204104"/>
    <w:rsid w:val="0020561D"/>
    <w:rsid w:val="00206896"/>
    <w:rsid w:val="00216901"/>
    <w:rsid w:val="0022704D"/>
    <w:rsid w:val="002317E5"/>
    <w:rsid w:val="00233518"/>
    <w:rsid w:val="0023467F"/>
    <w:rsid w:val="002427C3"/>
    <w:rsid w:val="0025718C"/>
    <w:rsid w:val="00261182"/>
    <w:rsid w:val="00263307"/>
    <w:rsid w:val="0026480D"/>
    <w:rsid w:val="002660DA"/>
    <w:rsid w:val="002677E6"/>
    <w:rsid w:val="00270C87"/>
    <w:rsid w:val="00275B34"/>
    <w:rsid w:val="00276E36"/>
    <w:rsid w:val="00285C7D"/>
    <w:rsid w:val="0028665A"/>
    <w:rsid w:val="0029107D"/>
    <w:rsid w:val="002956BB"/>
    <w:rsid w:val="00295993"/>
    <w:rsid w:val="00295DE3"/>
    <w:rsid w:val="002A011A"/>
    <w:rsid w:val="002A219C"/>
    <w:rsid w:val="002A4AF0"/>
    <w:rsid w:val="002B11A7"/>
    <w:rsid w:val="002B7B51"/>
    <w:rsid w:val="002C07F8"/>
    <w:rsid w:val="002C1076"/>
    <w:rsid w:val="002C58F9"/>
    <w:rsid w:val="002D2FF4"/>
    <w:rsid w:val="002D57A2"/>
    <w:rsid w:val="002D77D2"/>
    <w:rsid w:val="002E537A"/>
    <w:rsid w:val="0030650F"/>
    <w:rsid w:val="003102EA"/>
    <w:rsid w:val="00311CFC"/>
    <w:rsid w:val="00324AF6"/>
    <w:rsid w:val="003363B7"/>
    <w:rsid w:val="00347595"/>
    <w:rsid w:val="003510F1"/>
    <w:rsid w:val="0035303E"/>
    <w:rsid w:val="00361485"/>
    <w:rsid w:val="003650DD"/>
    <w:rsid w:val="003678E6"/>
    <w:rsid w:val="00367EA4"/>
    <w:rsid w:val="00373AA9"/>
    <w:rsid w:val="00373F70"/>
    <w:rsid w:val="0037479B"/>
    <w:rsid w:val="00377466"/>
    <w:rsid w:val="0038143F"/>
    <w:rsid w:val="00386281"/>
    <w:rsid w:val="003873B7"/>
    <w:rsid w:val="003955B0"/>
    <w:rsid w:val="003A0973"/>
    <w:rsid w:val="003B0830"/>
    <w:rsid w:val="003B117C"/>
    <w:rsid w:val="003B5AF6"/>
    <w:rsid w:val="003C0C91"/>
    <w:rsid w:val="003C15D4"/>
    <w:rsid w:val="003C2408"/>
    <w:rsid w:val="003C3E94"/>
    <w:rsid w:val="003C7CB7"/>
    <w:rsid w:val="003D2279"/>
    <w:rsid w:val="003D23CE"/>
    <w:rsid w:val="003D2D4A"/>
    <w:rsid w:val="003D590F"/>
    <w:rsid w:val="003F020D"/>
    <w:rsid w:val="003F65B0"/>
    <w:rsid w:val="003F6611"/>
    <w:rsid w:val="003F7DD9"/>
    <w:rsid w:val="004078EE"/>
    <w:rsid w:val="004113AD"/>
    <w:rsid w:val="00430E7E"/>
    <w:rsid w:val="00437967"/>
    <w:rsid w:val="00450108"/>
    <w:rsid w:val="00452527"/>
    <w:rsid w:val="00454823"/>
    <w:rsid w:val="004625EC"/>
    <w:rsid w:val="00462F71"/>
    <w:rsid w:val="00463ED7"/>
    <w:rsid w:val="00464A8E"/>
    <w:rsid w:val="00466AF9"/>
    <w:rsid w:val="0046729E"/>
    <w:rsid w:val="00475706"/>
    <w:rsid w:val="004803A6"/>
    <w:rsid w:val="004847AD"/>
    <w:rsid w:val="0048529B"/>
    <w:rsid w:val="004852E7"/>
    <w:rsid w:val="004863D4"/>
    <w:rsid w:val="0049085B"/>
    <w:rsid w:val="004948D8"/>
    <w:rsid w:val="00496073"/>
    <w:rsid w:val="00497177"/>
    <w:rsid w:val="00497A9F"/>
    <w:rsid w:val="00497DB3"/>
    <w:rsid w:val="004B444F"/>
    <w:rsid w:val="004C1B28"/>
    <w:rsid w:val="004C5B13"/>
    <w:rsid w:val="004C6738"/>
    <w:rsid w:val="004D67F2"/>
    <w:rsid w:val="004D7BCB"/>
    <w:rsid w:val="00503FD6"/>
    <w:rsid w:val="00507D42"/>
    <w:rsid w:val="005218D1"/>
    <w:rsid w:val="0052549A"/>
    <w:rsid w:val="00526058"/>
    <w:rsid w:val="0052629F"/>
    <w:rsid w:val="00531DAE"/>
    <w:rsid w:val="00533AE3"/>
    <w:rsid w:val="00534C3E"/>
    <w:rsid w:val="00545C5A"/>
    <w:rsid w:val="005608EB"/>
    <w:rsid w:val="00564ED5"/>
    <w:rsid w:val="005706E3"/>
    <w:rsid w:val="00572DF4"/>
    <w:rsid w:val="00576EEC"/>
    <w:rsid w:val="00580CBE"/>
    <w:rsid w:val="00581A4B"/>
    <w:rsid w:val="005A32C9"/>
    <w:rsid w:val="005A33A9"/>
    <w:rsid w:val="005A34F7"/>
    <w:rsid w:val="005A3620"/>
    <w:rsid w:val="005A7A8E"/>
    <w:rsid w:val="005B061E"/>
    <w:rsid w:val="005B3554"/>
    <w:rsid w:val="005B3A27"/>
    <w:rsid w:val="005B4D40"/>
    <w:rsid w:val="005B6E8A"/>
    <w:rsid w:val="005C14BA"/>
    <w:rsid w:val="005C2E48"/>
    <w:rsid w:val="005E2D55"/>
    <w:rsid w:val="005E5A7D"/>
    <w:rsid w:val="005E6A0F"/>
    <w:rsid w:val="005F0725"/>
    <w:rsid w:val="005F4B64"/>
    <w:rsid w:val="006016A1"/>
    <w:rsid w:val="00603876"/>
    <w:rsid w:val="00611CCC"/>
    <w:rsid w:val="006124BD"/>
    <w:rsid w:val="00627507"/>
    <w:rsid w:val="006277DD"/>
    <w:rsid w:val="00650D1E"/>
    <w:rsid w:val="0065705C"/>
    <w:rsid w:val="00657AF7"/>
    <w:rsid w:val="0066205C"/>
    <w:rsid w:val="0066406E"/>
    <w:rsid w:val="00675232"/>
    <w:rsid w:val="0068268E"/>
    <w:rsid w:val="00685FDE"/>
    <w:rsid w:val="00687253"/>
    <w:rsid w:val="006931EC"/>
    <w:rsid w:val="006A6E33"/>
    <w:rsid w:val="006C0F86"/>
    <w:rsid w:val="006C2E2F"/>
    <w:rsid w:val="006C336E"/>
    <w:rsid w:val="006D7298"/>
    <w:rsid w:val="006D7733"/>
    <w:rsid w:val="006E0383"/>
    <w:rsid w:val="006E0673"/>
    <w:rsid w:val="006E108C"/>
    <w:rsid w:val="006E171A"/>
    <w:rsid w:val="006E3B09"/>
    <w:rsid w:val="006F01B0"/>
    <w:rsid w:val="006F02F5"/>
    <w:rsid w:val="006F04B4"/>
    <w:rsid w:val="006F24BC"/>
    <w:rsid w:val="006F77EB"/>
    <w:rsid w:val="007206D1"/>
    <w:rsid w:val="00735974"/>
    <w:rsid w:val="00740272"/>
    <w:rsid w:val="00751703"/>
    <w:rsid w:val="007645CA"/>
    <w:rsid w:val="00766A46"/>
    <w:rsid w:val="00766EB3"/>
    <w:rsid w:val="007841FC"/>
    <w:rsid w:val="00784B19"/>
    <w:rsid w:val="00790D6A"/>
    <w:rsid w:val="00796BBF"/>
    <w:rsid w:val="007A447F"/>
    <w:rsid w:val="007A5AE9"/>
    <w:rsid w:val="007C2438"/>
    <w:rsid w:val="007C76C9"/>
    <w:rsid w:val="007D1E89"/>
    <w:rsid w:val="007D3B64"/>
    <w:rsid w:val="007D5CF1"/>
    <w:rsid w:val="007D5D4F"/>
    <w:rsid w:val="007E242D"/>
    <w:rsid w:val="007E690D"/>
    <w:rsid w:val="007E7328"/>
    <w:rsid w:val="007F68ED"/>
    <w:rsid w:val="0080717A"/>
    <w:rsid w:val="00812D05"/>
    <w:rsid w:val="00813806"/>
    <w:rsid w:val="00816629"/>
    <w:rsid w:val="00817AC3"/>
    <w:rsid w:val="008270ED"/>
    <w:rsid w:val="008314F3"/>
    <w:rsid w:val="00833716"/>
    <w:rsid w:val="00834A71"/>
    <w:rsid w:val="0084727D"/>
    <w:rsid w:val="00852ED2"/>
    <w:rsid w:val="00854B69"/>
    <w:rsid w:val="00856A3B"/>
    <w:rsid w:val="0086280C"/>
    <w:rsid w:val="008822F5"/>
    <w:rsid w:val="00885720"/>
    <w:rsid w:val="008872B4"/>
    <w:rsid w:val="008872BF"/>
    <w:rsid w:val="008A4D8B"/>
    <w:rsid w:val="008B2779"/>
    <w:rsid w:val="008B338A"/>
    <w:rsid w:val="008B4F37"/>
    <w:rsid w:val="008B6DCC"/>
    <w:rsid w:val="008B7F83"/>
    <w:rsid w:val="008D5715"/>
    <w:rsid w:val="008E3646"/>
    <w:rsid w:val="008E46A4"/>
    <w:rsid w:val="008E5684"/>
    <w:rsid w:val="008E61C5"/>
    <w:rsid w:val="008E6DF8"/>
    <w:rsid w:val="008F157E"/>
    <w:rsid w:val="008F75C4"/>
    <w:rsid w:val="008F7ADE"/>
    <w:rsid w:val="00900CD0"/>
    <w:rsid w:val="00903B54"/>
    <w:rsid w:val="0090432C"/>
    <w:rsid w:val="00907475"/>
    <w:rsid w:val="0091029B"/>
    <w:rsid w:val="0091075B"/>
    <w:rsid w:val="009119E2"/>
    <w:rsid w:val="00912754"/>
    <w:rsid w:val="00916E32"/>
    <w:rsid w:val="0091757C"/>
    <w:rsid w:val="00924B45"/>
    <w:rsid w:val="00927405"/>
    <w:rsid w:val="00936DCE"/>
    <w:rsid w:val="00937291"/>
    <w:rsid w:val="00953D80"/>
    <w:rsid w:val="0095741D"/>
    <w:rsid w:val="00961A60"/>
    <w:rsid w:val="00974B8C"/>
    <w:rsid w:val="009767F9"/>
    <w:rsid w:val="00982D1F"/>
    <w:rsid w:val="009865D2"/>
    <w:rsid w:val="009A03DB"/>
    <w:rsid w:val="009A13BA"/>
    <w:rsid w:val="009B2682"/>
    <w:rsid w:val="009C6A79"/>
    <w:rsid w:val="009D3BF5"/>
    <w:rsid w:val="009D5EB8"/>
    <w:rsid w:val="009D60CD"/>
    <w:rsid w:val="009D61B9"/>
    <w:rsid w:val="009D796A"/>
    <w:rsid w:val="009E437D"/>
    <w:rsid w:val="009E59D4"/>
    <w:rsid w:val="009F2F74"/>
    <w:rsid w:val="00A06970"/>
    <w:rsid w:val="00A074D4"/>
    <w:rsid w:val="00A10E19"/>
    <w:rsid w:val="00A14BB5"/>
    <w:rsid w:val="00A14D57"/>
    <w:rsid w:val="00A16E40"/>
    <w:rsid w:val="00A22018"/>
    <w:rsid w:val="00A24E80"/>
    <w:rsid w:val="00A34B6C"/>
    <w:rsid w:val="00A36F13"/>
    <w:rsid w:val="00A40CC0"/>
    <w:rsid w:val="00A4284D"/>
    <w:rsid w:val="00A474EE"/>
    <w:rsid w:val="00A540E6"/>
    <w:rsid w:val="00A604A9"/>
    <w:rsid w:val="00A6572D"/>
    <w:rsid w:val="00A71E89"/>
    <w:rsid w:val="00A72C18"/>
    <w:rsid w:val="00A76C5B"/>
    <w:rsid w:val="00A82BD9"/>
    <w:rsid w:val="00A84BDA"/>
    <w:rsid w:val="00A8624A"/>
    <w:rsid w:val="00A87D10"/>
    <w:rsid w:val="00A924AC"/>
    <w:rsid w:val="00A93DCF"/>
    <w:rsid w:val="00A9496B"/>
    <w:rsid w:val="00A96637"/>
    <w:rsid w:val="00AA3610"/>
    <w:rsid w:val="00AA401F"/>
    <w:rsid w:val="00AA54A7"/>
    <w:rsid w:val="00AB141D"/>
    <w:rsid w:val="00AB1C08"/>
    <w:rsid w:val="00AB613A"/>
    <w:rsid w:val="00AC0B3E"/>
    <w:rsid w:val="00AC0FE9"/>
    <w:rsid w:val="00AC2429"/>
    <w:rsid w:val="00AC5FC1"/>
    <w:rsid w:val="00AC60CD"/>
    <w:rsid w:val="00AD5508"/>
    <w:rsid w:val="00AE2CF8"/>
    <w:rsid w:val="00AE5FE0"/>
    <w:rsid w:val="00B02661"/>
    <w:rsid w:val="00B127A2"/>
    <w:rsid w:val="00B23649"/>
    <w:rsid w:val="00B25ED7"/>
    <w:rsid w:val="00B261A1"/>
    <w:rsid w:val="00B3728A"/>
    <w:rsid w:val="00B50716"/>
    <w:rsid w:val="00B55D83"/>
    <w:rsid w:val="00B572C6"/>
    <w:rsid w:val="00B6007A"/>
    <w:rsid w:val="00B60265"/>
    <w:rsid w:val="00B65741"/>
    <w:rsid w:val="00B65CB5"/>
    <w:rsid w:val="00B67ECF"/>
    <w:rsid w:val="00B76463"/>
    <w:rsid w:val="00B850AC"/>
    <w:rsid w:val="00B90220"/>
    <w:rsid w:val="00B934B1"/>
    <w:rsid w:val="00B93CBC"/>
    <w:rsid w:val="00BA0CEA"/>
    <w:rsid w:val="00BA3ED7"/>
    <w:rsid w:val="00BB6634"/>
    <w:rsid w:val="00BC3DD8"/>
    <w:rsid w:val="00BC78FF"/>
    <w:rsid w:val="00BF1855"/>
    <w:rsid w:val="00BF222F"/>
    <w:rsid w:val="00BF362A"/>
    <w:rsid w:val="00BF3BB7"/>
    <w:rsid w:val="00C03847"/>
    <w:rsid w:val="00C051C3"/>
    <w:rsid w:val="00C07905"/>
    <w:rsid w:val="00C12082"/>
    <w:rsid w:val="00C15C44"/>
    <w:rsid w:val="00C20387"/>
    <w:rsid w:val="00C235B6"/>
    <w:rsid w:val="00C3354B"/>
    <w:rsid w:val="00C372C5"/>
    <w:rsid w:val="00C41860"/>
    <w:rsid w:val="00C44C21"/>
    <w:rsid w:val="00C51ADC"/>
    <w:rsid w:val="00C55CC8"/>
    <w:rsid w:val="00C85AF7"/>
    <w:rsid w:val="00C87FC6"/>
    <w:rsid w:val="00C9622E"/>
    <w:rsid w:val="00CA162D"/>
    <w:rsid w:val="00CA4AA8"/>
    <w:rsid w:val="00CA785F"/>
    <w:rsid w:val="00CB06CC"/>
    <w:rsid w:val="00CB375E"/>
    <w:rsid w:val="00CB5268"/>
    <w:rsid w:val="00CB5B43"/>
    <w:rsid w:val="00CC15EE"/>
    <w:rsid w:val="00CC4265"/>
    <w:rsid w:val="00CC69B0"/>
    <w:rsid w:val="00CD5E7F"/>
    <w:rsid w:val="00CE78D8"/>
    <w:rsid w:val="00CF54A3"/>
    <w:rsid w:val="00CF78A2"/>
    <w:rsid w:val="00D03108"/>
    <w:rsid w:val="00D036E8"/>
    <w:rsid w:val="00D03F36"/>
    <w:rsid w:val="00D04BE3"/>
    <w:rsid w:val="00D1225F"/>
    <w:rsid w:val="00D1319B"/>
    <w:rsid w:val="00D14A4D"/>
    <w:rsid w:val="00D16FB8"/>
    <w:rsid w:val="00D174BE"/>
    <w:rsid w:val="00D216AE"/>
    <w:rsid w:val="00D23B78"/>
    <w:rsid w:val="00D24D02"/>
    <w:rsid w:val="00D30946"/>
    <w:rsid w:val="00D41C3C"/>
    <w:rsid w:val="00D42B3D"/>
    <w:rsid w:val="00D47636"/>
    <w:rsid w:val="00D53FC0"/>
    <w:rsid w:val="00D55833"/>
    <w:rsid w:val="00D716D9"/>
    <w:rsid w:val="00D72530"/>
    <w:rsid w:val="00D739A3"/>
    <w:rsid w:val="00D844A3"/>
    <w:rsid w:val="00D84617"/>
    <w:rsid w:val="00D865E8"/>
    <w:rsid w:val="00D86F0C"/>
    <w:rsid w:val="00D9240C"/>
    <w:rsid w:val="00DA3262"/>
    <w:rsid w:val="00DB3219"/>
    <w:rsid w:val="00DB749B"/>
    <w:rsid w:val="00DC288E"/>
    <w:rsid w:val="00DC6C61"/>
    <w:rsid w:val="00DD6956"/>
    <w:rsid w:val="00DD79B7"/>
    <w:rsid w:val="00DE2B25"/>
    <w:rsid w:val="00DE2CB3"/>
    <w:rsid w:val="00DE3003"/>
    <w:rsid w:val="00DE68F4"/>
    <w:rsid w:val="00E00630"/>
    <w:rsid w:val="00E00E26"/>
    <w:rsid w:val="00E07826"/>
    <w:rsid w:val="00E07848"/>
    <w:rsid w:val="00E1600E"/>
    <w:rsid w:val="00E2171A"/>
    <w:rsid w:val="00E218C5"/>
    <w:rsid w:val="00E304E9"/>
    <w:rsid w:val="00E30DE3"/>
    <w:rsid w:val="00E330AC"/>
    <w:rsid w:val="00E33E1F"/>
    <w:rsid w:val="00E35C3A"/>
    <w:rsid w:val="00E40A35"/>
    <w:rsid w:val="00E423D5"/>
    <w:rsid w:val="00E45981"/>
    <w:rsid w:val="00E47886"/>
    <w:rsid w:val="00E47D95"/>
    <w:rsid w:val="00E50358"/>
    <w:rsid w:val="00E50F9B"/>
    <w:rsid w:val="00E5365D"/>
    <w:rsid w:val="00E55FB8"/>
    <w:rsid w:val="00E56AA7"/>
    <w:rsid w:val="00E56B86"/>
    <w:rsid w:val="00E679D9"/>
    <w:rsid w:val="00E67AB6"/>
    <w:rsid w:val="00E70D38"/>
    <w:rsid w:val="00E71E7D"/>
    <w:rsid w:val="00E836BA"/>
    <w:rsid w:val="00E90A19"/>
    <w:rsid w:val="00E94075"/>
    <w:rsid w:val="00E95C3E"/>
    <w:rsid w:val="00EA14FC"/>
    <w:rsid w:val="00EA372E"/>
    <w:rsid w:val="00EA389B"/>
    <w:rsid w:val="00EA5411"/>
    <w:rsid w:val="00EB1EB8"/>
    <w:rsid w:val="00EB49F1"/>
    <w:rsid w:val="00EB4A33"/>
    <w:rsid w:val="00EC00EF"/>
    <w:rsid w:val="00ED0BF5"/>
    <w:rsid w:val="00ED68C9"/>
    <w:rsid w:val="00EE5172"/>
    <w:rsid w:val="00EE5D2D"/>
    <w:rsid w:val="00EE66E4"/>
    <w:rsid w:val="00EE74E1"/>
    <w:rsid w:val="00EF087F"/>
    <w:rsid w:val="00F01614"/>
    <w:rsid w:val="00F02755"/>
    <w:rsid w:val="00F165FF"/>
    <w:rsid w:val="00F20367"/>
    <w:rsid w:val="00F2593B"/>
    <w:rsid w:val="00F26C3B"/>
    <w:rsid w:val="00F304ED"/>
    <w:rsid w:val="00F3056E"/>
    <w:rsid w:val="00F330CB"/>
    <w:rsid w:val="00F3350E"/>
    <w:rsid w:val="00F371FB"/>
    <w:rsid w:val="00F4421E"/>
    <w:rsid w:val="00F50470"/>
    <w:rsid w:val="00F60A5B"/>
    <w:rsid w:val="00F615E3"/>
    <w:rsid w:val="00F65477"/>
    <w:rsid w:val="00F65478"/>
    <w:rsid w:val="00F719CD"/>
    <w:rsid w:val="00F7727E"/>
    <w:rsid w:val="00F862F0"/>
    <w:rsid w:val="00F90A4F"/>
    <w:rsid w:val="00F92208"/>
    <w:rsid w:val="00F9492A"/>
    <w:rsid w:val="00F95A76"/>
    <w:rsid w:val="00F95AB4"/>
    <w:rsid w:val="00F97895"/>
    <w:rsid w:val="00FB37D4"/>
    <w:rsid w:val="00FC3886"/>
    <w:rsid w:val="00FC5B3D"/>
    <w:rsid w:val="00FC5DBE"/>
    <w:rsid w:val="00FC7168"/>
    <w:rsid w:val="00FD3F35"/>
    <w:rsid w:val="00FE3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FB8"/>
    <w:rPr>
      <w:rFonts w:ascii="Bookman Old Style" w:hAnsi="Bookman Old Style"/>
      <w:sz w:val="22"/>
      <w:szCs w:val="24"/>
    </w:rPr>
  </w:style>
  <w:style w:type="paragraph" w:styleId="Heading4">
    <w:name w:val="heading 4"/>
    <w:basedOn w:val="Normal"/>
    <w:qFormat/>
    <w:rsid w:val="00A6572D"/>
    <w:pPr>
      <w:spacing w:before="100" w:beforeAutospacing="1" w:after="100" w:afterAutospacing="1"/>
      <w:outlineLvl w:val="3"/>
    </w:pPr>
    <w:rPr>
      <w:rFonts w:ascii="Arial" w:eastAsia="Arial Unicode MS"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1A4B"/>
    <w:rPr>
      <w:color w:val="0000FF"/>
      <w:u w:val="single"/>
    </w:rPr>
  </w:style>
  <w:style w:type="paragraph" w:styleId="Title">
    <w:name w:val="Title"/>
    <w:basedOn w:val="Normal"/>
    <w:qFormat/>
    <w:rsid w:val="00581A4B"/>
    <w:pPr>
      <w:jc w:val="center"/>
    </w:pPr>
    <w:rPr>
      <w:b/>
      <w:bCs/>
      <w:sz w:val="24"/>
    </w:rPr>
  </w:style>
  <w:style w:type="paragraph" w:styleId="BodyText">
    <w:name w:val="Body Text"/>
    <w:basedOn w:val="Normal"/>
    <w:rsid w:val="00581A4B"/>
    <w:pPr>
      <w:jc w:val="both"/>
    </w:pPr>
  </w:style>
  <w:style w:type="character" w:styleId="FollowedHyperlink">
    <w:name w:val="FollowedHyperlink"/>
    <w:basedOn w:val="DefaultParagraphFont"/>
    <w:rsid w:val="00581A4B"/>
    <w:rPr>
      <w:color w:val="800080"/>
      <w:u w:val="single"/>
    </w:rPr>
  </w:style>
  <w:style w:type="paragraph" w:styleId="BalloonText">
    <w:name w:val="Balloon Text"/>
    <w:basedOn w:val="Normal"/>
    <w:semiHidden/>
    <w:rsid w:val="00E5365D"/>
    <w:rPr>
      <w:rFonts w:ascii="Tahoma" w:hAnsi="Tahoma" w:cs="Tahoma"/>
      <w:sz w:val="16"/>
      <w:szCs w:val="16"/>
    </w:rPr>
  </w:style>
  <w:style w:type="paragraph" w:styleId="NormalWeb">
    <w:name w:val="Normal (Web)"/>
    <w:basedOn w:val="Normal"/>
    <w:rsid w:val="00002FFF"/>
    <w:pPr>
      <w:spacing w:before="100" w:beforeAutospacing="1" w:after="100" w:afterAutospacing="1"/>
    </w:pPr>
    <w:rPr>
      <w:rFonts w:ascii="Arial Unicode MS" w:hAnsi="Arial Unicode MS"/>
      <w:sz w:val="24"/>
    </w:rPr>
  </w:style>
  <w:style w:type="character" w:styleId="Strong">
    <w:name w:val="Strong"/>
    <w:basedOn w:val="DefaultParagraphFont"/>
    <w:qFormat/>
    <w:rsid w:val="00F92208"/>
    <w:rPr>
      <w:b/>
      <w:bCs/>
    </w:rPr>
  </w:style>
  <w:style w:type="table" w:styleId="TableGrid">
    <w:name w:val="Table Grid"/>
    <w:basedOn w:val="TableNormal"/>
    <w:rsid w:val="0005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bntbltxt1">
    <w:name w:val="ccbntbltxt1"/>
    <w:basedOn w:val="DefaultParagraphFont"/>
    <w:rsid w:val="00F65477"/>
    <w:rPr>
      <w:rFonts w:ascii="Verdana" w:hAnsi="Verdana" w:hint="default"/>
      <w:sz w:val="11"/>
      <w:szCs w:val="11"/>
    </w:rPr>
  </w:style>
  <w:style w:type="paragraph" w:styleId="FootnoteText">
    <w:name w:val="footnote text"/>
    <w:basedOn w:val="Normal"/>
    <w:semiHidden/>
    <w:rsid w:val="00112C2B"/>
    <w:rPr>
      <w:sz w:val="20"/>
      <w:szCs w:val="20"/>
    </w:rPr>
  </w:style>
  <w:style w:type="character" w:styleId="FootnoteReference">
    <w:name w:val="footnote reference"/>
    <w:basedOn w:val="DefaultParagraphFont"/>
    <w:semiHidden/>
    <w:rsid w:val="00112C2B"/>
    <w:rPr>
      <w:vertAlign w:val="superscript"/>
    </w:rPr>
  </w:style>
  <w:style w:type="paragraph" w:styleId="Header">
    <w:name w:val="header"/>
    <w:basedOn w:val="Normal"/>
    <w:rsid w:val="00044019"/>
    <w:pPr>
      <w:tabs>
        <w:tab w:val="center" w:pos="4320"/>
        <w:tab w:val="right" w:pos="8640"/>
      </w:tabs>
    </w:pPr>
  </w:style>
  <w:style w:type="paragraph" w:styleId="Footer">
    <w:name w:val="footer"/>
    <w:basedOn w:val="Normal"/>
    <w:rsid w:val="0004401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FB8"/>
    <w:rPr>
      <w:rFonts w:ascii="Bookman Old Style" w:hAnsi="Bookman Old Style"/>
      <w:sz w:val="22"/>
      <w:szCs w:val="24"/>
    </w:rPr>
  </w:style>
  <w:style w:type="paragraph" w:styleId="Heading4">
    <w:name w:val="heading 4"/>
    <w:basedOn w:val="Normal"/>
    <w:qFormat/>
    <w:rsid w:val="00A6572D"/>
    <w:pPr>
      <w:spacing w:before="100" w:beforeAutospacing="1" w:after="100" w:afterAutospacing="1"/>
      <w:outlineLvl w:val="3"/>
    </w:pPr>
    <w:rPr>
      <w:rFonts w:ascii="Arial" w:eastAsia="Arial Unicode MS"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1A4B"/>
    <w:rPr>
      <w:color w:val="0000FF"/>
      <w:u w:val="single"/>
    </w:rPr>
  </w:style>
  <w:style w:type="paragraph" w:styleId="Title">
    <w:name w:val="Title"/>
    <w:basedOn w:val="Normal"/>
    <w:qFormat/>
    <w:rsid w:val="00581A4B"/>
    <w:pPr>
      <w:jc w:val="center"/>
    </w:pPr>
    <w:rPr>
      <w:b/>
      <w:bCs/>
      <w:sz w:val="24"/>
    </w:rPr>
  </w:style>
  <w:style w:type="paragraph" w:styleId="BodyText">
    <w:name w:val="Body Text"/>
    <w:basedOn w:val="Normal"/>
    <w:rsid w:val="00581A4B"/>
    <w:pPr>
      <w:jc w:val="both"/>
    </w:pPr>
  </w:style>
  <w:style w:type="character" w:styleId="FollowedHyperlink">
    <w:name w:val="FollowedHyperlink"/>
    <w:basedOn w:val="DefaultParagraphFont"/>
    <w:rsid w:val="00581A4B"/>
    <w:rPr>
      <w:color w:val="800080"/>
      <w:u w:val="single"/>
    </w:rPr>
  </w:style>
  <w:style w:type="paragraph" w:styleId="BalloonText">
    <w:name w:val="Balloon Text"/>
    <w:basedOn w:val="Normal"/>
    <w:semiHidden/>
    <w:rsid w:val="00E5365D"/>
    <w:rPr>
      <w:rFonts w:ascii="Tahoma" w:hAnsi="Tahoma" w:cs="Tahoma"/>
      <w:sz w:val="16"/>
      <w:szCs w:val="16"/>
    </w:rPr>
  </w:style>
  <w:style w:type="paragraph" w:styleId="NormalWeb">
    <w:name w:val="Normal (Web)"/>
    <w:basedOn w:val="Normal"/>
    <w:rsid w:val="00002FFF"/>
    <w:pPr>
      <w:spacing w:before="100" w:beforeAutospacing="1" w:after="100" w:afterAutospacing="1"/>
    </w:pPr>
    <w:rPr>
      <w:rFonts w:ascii="Arial Unicode MS" w:hAnsi="Arial Unicode MS"/>
      <w:sz w:val="24"/>
    </w:rPr>
  </w:style>
  <w:style w:type="character" w:styleId="Strong">
    <w:name w:val="Strong"/>
    <w:basedOn w:val="DefaultParagraphFont"/>
    <w:qFormat/>
    <w:rsid w:val="00F92208"/>
    <w:rPr>
      <w:b/>
      <w:bCs/>
    </w:rPr>
  </w:style>
  <w:style w:type="table" w:styleId="TableGrid">
    <w:name w:val="Table Grid"/>
    <w:basedOn w:val="TableNormal"/>
    <w:rsid w:val="00056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bntbltxt1">
    <w:name w:val="ccbntbltxt1"/>
    <w:basedOn w:val="DefaultParagraphFont"/>
    <w:rsid w:val="00F65477"/>
    <w:rPr>
      <w:rFonts w:ascii="Verdana" w:hAnsi="Verdana" w:hint="default"/>
      <w:sz w:val="11"/>
      <w:szCs w:val="11"/>
    </w:rPr>
  </w:style>
  <w:style w:type="paragraph" w:styleId="FootnoteText">
    <w:name w:val="footnote text"/>
    <w:basedOn w:val="Normal"/>
    <w:semiHidden/>
    <w:rsid w:val="00112C2B"/>
    <w:rPr>
      <w:sz w:val="20"/>
      <w:szCs w:val="20"/>
    </w:rPr>
  </w:style>
  <w:style w:type="character" w:styleId="FootnoteReference">
    <w:name w:val="footnote reference"/>
    <w:basedOn w:val="DefaultParagraphFont"/>
    <w:semiHidden/>
    <w:rsid w:val="00112C2B"/>
    <w:rPr>
      <w:vertAlign w:val="superscript"/>
    </w:rPr>
  </w:style>
  <w:style w:type="paragraph" w:styleId="Header">
    <w:name w:val="header"/>
    <w:basedOn w:val="Normal"/>
    <w:rsid w:val="00044019"/>
    <w:pPr>
      <w:tabs>
        <w:tab w:val="center" w:pos="4320"/>
        <w:tab w:val="right" w:pos="8640"/>
      </w:tabs>
    </w:pPr>
  </w:style>
  <w:style w:type="paragraph" w:styleId="Footer">
    <w:name w:val="footer"/>
    <w:basedOn w:val="Normal"/>
    <w:rsid w:val="0004401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7489">
      <w:bodyDiv w:val="1"/>
      <w:marLeft w:val="0"/>
      <w:marRight w:val="0"/>
      <w:marTop w:val="0"/>
      <w:marBottom w:val="0"/>
      <w:divBdr>
        <w:top w:val="none" w:sz="0" w:space="0" w:color="auto"/>
        <w:left w:val="none" w:sz="0" w:space="0" w:color="auto"/>
        <w:bottom w:val="none" w:sz="0" w:space="0" w:color="auto"/>
        <w:right w:val="none" w:sz="0" w:space="0" w:color="auto"/>
      </w:divBdr>
      <w:divsChild>
        <w:div w:id="180894734">
          <w:marLeft w:val="0"/>
          <w:marRight w:val="0"/>
          <w:marTop w:val="0"/>
          <w:marBottom w:val="0"/>
          <w:divBdr>
            <w:top w:val="none" w:sz="0" w:space="0" w:color="auto"/>
            <w:left w:val="none" w:sz="0" w:space="0" w:color="auto"/>
            <w:bottom w:val="none" w:sz="0" w:space="0" w:color="auto"/>
            <w:right w:val="none" w:sz="0" w:space="0" w:color="auto"/>
          </w:divBdr>
          <w:divsChild>
            <w:div w:id="18503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6087">
      <w:bodyDiv w:val="1"/>
      <w:marLeft w:val="0"/>
      <w:marRight w:val="0"/>
      <w:marTop w:val="0"/>
      <w:marBottom w:val="0"/>
      <w:divBdr>
        <w:top w:val="none" w:sz="0" w:space="0" w:color="auto"/>
        <w:left w:val="none" w:sz="0" w:space="0" w:color="auto"/>
        <w:bottom w:val="none" w:sz="0" w:space="0" w:color="auto"/>
        <w:right w:val="none" w:sz="0" w:space="0" w:color="auto"/>
      </w:divBdr>
      <w:divsChild>
        <w:div w:id="370883505">
          <w:marLeft w:val="0"/>
          <w:marRight w:val="0"/>
          <w:marTop w:val="0"/>
          <w:marBottom w:val="0"/>
          <w:divBdr>
            <w:top w:val="none" w:sz="0" w:space="0" w:color="auto"/>
            <w:left w:val="none" w:sz="0" w:space="0" w:color="auto"/>
            <w:bottom w:val="none" w:sz="0" w:space="0" w:color="auto"/>
            <w:right w:val="none" w:sz="0" w:space="0" w:color="auto"/>
          </w:divBdr>
          <w:divsChild>
            <w:div w:id="4990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223">
      <w:bodyDiv w:val="1"/>
      <w:marLeft w:val="0"/>
      <w:marRight w:val="0"/>
      <w:marTop w:val="0"/>
      <w:marBottom w:val="0"/>
      <w:divBdr>
        <w:top w:val="none" w:sz="0" w:space="0" w:color="auto"/>
        <w:left w:val="none" w:sz="0" w:space="0" w:color="auto"/>
        <w:bottom w:val="none" w:sz="0" w:space="0" w:color="auto"/>
        <w:right w:val="none" w:sz="0" w:space="0" w:color="auto"/>
      </w:divBdr>
      <w:divsChild>
        <w:div w:id="1530338714">
          <w:marLeft w:val="0"/>
          <w:marRight w:val="0"/>
          <w:marTop w:val="0"/>
          <w:marBottom w:val="0"/>
          <w:divBdr>
            <w:top w:val="none" w:sz="0" w:space="0" w:color="auto"/>
            <w:left w:val="none" w:sz="0" w:space="0" w:color="auto"/>
            <w:bottom w:val="none" w:sz="0" w:space="0" w:color="auto"/>
            <w:right w:val="none" w:sz="0" w:space="0" w:color="auto"/>
          </w:divBdr>
          <w:divsChild>
            <w:div w:id="140006922">
              <w:marLeft w:val="0"/>
              <w:marRight w:val="0"/>
              <w:marTop w:val="0"/>
              <w:marBottom w:val="0"/>
              <w:divBdr>
                <w:top w:val="none" w:sz="0" w:space="0" w:color="auto"/>
                <w:left w:val="none" w:sz="0" w:space="0" w:color="auto"/>
                <w:bottom w:val="none" w:sz="0" w:space="0" w:color="auto"/>
                <w:right w:val="none" w:sz="0" w:space="0" w:color="auto"/>
              </w:divBdr>
            </w:div>
            <w:div w:id="801465631">
              <w:marLeft w:val="0"/>
              <w:marRight w:val="0"/>
              <w:marTop w:val="0"/>
              <w:marBottom w:val="0"/>
              <w:divBdr>
                <w:top w:val="none" w:sz="0" w:space="0" w:color="auto"/>
                <w:left w:val="none" w:sz="0" w:space="0" w:color="auto"/>
                <w:bottom w:val="none" w:sz="0" w:space="0" w:color="auto"/>
                <w:right w:val="none" w:sz="0" w:space="0" w:color="auto"/>
              </w:divBdr>
            </w:div>
            <w:div w:id="1190684694">
              <w:marLeft w:val="0"/>
              <w:marRight w:val="0"/>
              <w:marTop w:val="0"/>
              <w:marBottom w:val="0"/>
              <w:divBdr>
                <w:top w:val="none" w:sz="0" w:space="0" w:color="auto"/>
                <w:left w:val="none" w:sz="0" w:space="0" w:color="auto"/>
                <w:bottom w:val="none" w:sz="0" w:space="0" w:color="auto"/>
                <w:right w:val="none" w:sz="0" w:space="0" w:color="auto"/>
              </w:divBdr>
            </w:div>
            <w:div w:id="1205603685">
              <w:marLeft w:val="0"/>
              <w:marRight w:val="0"/>
              <w:marTop w:val="0"/>
              <w:marBottom w:val="0"/>
              <w:divBdr>
                <w:top w:val="none" w:sz="0" w:space="0" w:color="auto"/>
                <w:left w:val="none" w:sz="0" w:space="0" w:color="auto"/>
                <w:bottom w:val="none" w:sz="0" w:space="0" w:color="auto"/>
                <w:right w:val="none" w:sz="0" w:space="0" w:color="auto"/>
              </w:divBdr>
            </w:div>
            <w:div w:id="1828587806">
              <w:marLeft w:val="0"/>
              <w:marRight w:val="0"/>
              <w:marTop w:val="0"/>
              <w:marBottom w:val="0"/>
              <w:divBdr>
                <w:top w:val="none" w:sz="0" w:space="0" w:color="auto"/>
                <w:left w:val="none" w:sz="0" w:space="0" w:color="auto"/>
                <w:bottom w:val="none" w:sz="0" w:space="0" w:color="auto"/>
                <w:right w:val="none" w:sz="0" w:space="0" w:color="auto"/>
              </w:divBdr>
            </w:div>
            <w:div w:id="1853882644">
              <w:marLeft w:val="0"/>
              <w:marRight w:val="0"/>
              <w:marTop w:val="0"/>
              <w:marBottom w:val="0"/>
              <w:divBdr>
                <w:top w:val="none" w:sz="0" w:space="0" w:color="auto"/>
                <w:left w:val="none" w:sz="0" w:space="0" w:color="auto"/>
                <w:bottom w:val="none" w:sz="0" w:space="0" w:color="auto"/>
                <w:right w:val="none" w:sz="0" w:space="0" w:color="auto"/>
              </w:divBdr>
            </w:div>
            <w:div w:id="18876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9014">
      <w:bodyDiv w:val="1"/>
      <w:marLeft w:val="0"/>
      <w:marRight w:val="0"/>
      <w:marTop w:val="0"/>
      <w:marBottom w:val="0"/>
      <w:divBdr>
        <w:top w:val="none" w:sz="0" w:space="0" w:color="auto"/>
        <w:left w:val="none" w:sz="0" w:space="0" w:color="auto"/>
        <w:bottom w:val="none" w:sz="0" w:space="0" w:color="auto"/>
        <w:right w:val="none" w:sz="0" w:space="0" w:color="auto"/>
      </w:divBdr>
    </w:div>
    <w:div w:id="1103651532">
      <w:bodyDiv w:val="1"/>
      <w:marLeft w:val="0"/>
      <w:marRight w:val="0"/>
      <w:marTop w:val="0"/>
      <w:marBottom w:val="0"/>
      <w:divBdr>
        <w:top w:val="none" w:sz="0" w:space="0" w:color="auto"/>
        <w:left w:val="none" w:sz="0" w:space="0" w:color="auto"/>
        <w:bottom w:val="none" w:sz="0" w:space="0" w:color="auto"/>
        <w:right w:val="none" w:sz="0" w:space="0" w:color="auto"/>
      </w:divBdr>
    </w:div>
    <w:div w:id="1273979712">
      <w:bodyDiv w:val="1"/>
      <w:marLeft w:val="0"/>
      <w:marRight w:val="0"/>
      <w:marTop w:val="0"/>
      <w:marBottom w:val="0"/>
      <w:divBdr>
        <w:top w:val="none" w:sz="0" w:space="0" w:color="auto"/>
        <w:left w:val="none" w:sz="0" w:space="0" w:color="auto"/>
        <w:bottom w:val="none" w:sz="0" w:space="0" w:color="auto"/>
        <w:right w:val="none" w:sz="0" w:space="0" w:color="auto"/>
      </w:divBdr>
      <w:divsChild>
        <w:div w:id="535776704">
          <w:marLeft w:val="0"/>
          <w:marRight w:val="0"/>
          <w:marTop w:val="0"/>
          <w:marBottom w:val="0"/>
          <w:divBdr>
            <w:top w:val="none" w:sz="0" w:space="0" w:color="auto"/>
            <w:left w:val="none" w:sz="0" w:space="0" w:color="auto"/>
            <w:bottom w:val="none" w:sz="0" w:space="0" w:color="auto"/>
            <w:right w:val="none" w:sz="0" w:space="0" w:color="auto"/>
          </w:divBdr>
          <w:divsChild>
            <w:div w:id="9574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5856">
      <w:bodyDiv w:val="1"/>
      <w:marLeft w:val="0"/>
      <w:marRight w:val="0"/>
      <w:marTop w:val="0"/>
      <w:marBottom w:val="0"/>
      <w:divBdr>
        <w:top w:val="none" w:sz="0" w:space="0" w:color="auto"/>
        <w:left w:val="none" w:sz="0" w:space="0" w:color="auto"/>
        <w:bottom w:val="none" w:sz="0" w:space="0" w:color="auto"/>
        <w:right w:val="none" w:sz="0" w:space="0" w:color="auto"/>
      </w:divBdr>
    </w:div>
    <w:div w:id="1652753862">
      <w:bodyDiv w:val="1"/>
      <w:marLeft w:val="0"/>
      <w:marRight w:val="0"/>
      <w:marTop w:val="0"/>
      <w:marBottom w:val="0"/>
      <w:divBdr>
        <w:top w:val="none" w:sz="0" w:space="0" w:color="auto"/>
        <w:left w:val="none" w:sz="0" w:space="0" w:color="auto"/>
        <w:bottom w:val="none" w:sz="0" w:space="0" w:color="auto"/>
        <w:right w:val="none" w:sz="0" w:space="0" w:color="auto"/>
      </w:divBdr>
    </w:div>
    <w:div w:id="17886216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620">
          <w:marLeft w:val="0"/>
          <w:marRight w:val="0"/>
          <w:marTop w:val="0"/>
          <w:marBottom w:val="0"/>
          <w:divBdr>
            <w:top w:val="none" w:sz="0" w:space="0" w:color="auto"/>
            <w:left w:val="none" w:sz="0" w:space="0" w:color="auto"/>
            <w:bottom w:val="none" w:sz="0" w:space="0" w:color="auto"/>
            <w:right w:val="none" w:sz="0" w:space="0" w:color="auto"/>
          </w:divBdr>
          <w:divsChild>
            <w:div w:id="555629265">
              <w:marLeft w:val="0"/>
              <w:marRight w:val="0"/>
              <w:marTop w:val="0"/>
              <w:marBottom w:val="0"/>
              <w:divBdr>
                <w:top w:val="none" w:sz="0" w:space="0" w:color="auto"/>
                <w:left w:val="none" w:sz="0" w:space="0" w:color="auto"/>
                <w:bottom w:val="none" w:sz="0" w:space="0" w:color="auto"/>
                <w:right w:val="none" w:sz="0" w:space="0" w:color="auto"/>
              </w:divBdr>
            </w:div>
            <w:div w:id="879560236">
              <w:marLeft w:val="0"/>
              <w:marRight w:val="0"/>
              <w:marTop w:val="0"/>
              <w:marBottom w:val="0"/>
              <w:divBdr>
                <w:top w:val="none" w:sz="0" w:space="0" w:color="auto"/>
                <w:left w:val="none" w:sz="0" w:space="0" w:color="auto"/>
                <w:bottom w:val="none" w:sz="0" w:space="0" w:color="auto"/>
                <w:right w:val="none" w:sz="0" w:space="0" w:color="auto"/>
              </w:divBdr>
            </w:div>
            <w:div w:id="1090590502">
              <w:marLeft w:val="0"/>
              <w:marRight w:val="0"/>
              <w:marTop w:val="0"/>
              <w:marBottom w:val="0"/>
              <w:divBdr>
                <w:top w:val="none" w:sz="0" w:space="0" w:color="auto"/>
                <w:left w:val="none" w:sz="0" w:space="0" w:color="auto"/>
                <w:bottom w:val="none" w:sz="0" w:space="0" w:color="auto"/>
                <w:right w:val="none" w:sz="0" w:space="0" w:color="auto"/>
              </w:divBdr>
            </w:div>
            <w:div w:id="1120144994">
              <w:marLeft w:val="0"/>
              <w:marRight w:val="0"/>
              <w:marTop w:val="0"/>
              <w:marBottom w:val="0"/>
              <w:divBdr>
                <w:top w:val="none" w:sz="0" w:space="0" w:color="auto"/>
                <w:left w:val="none" w:sz="0" w:space="0" w:color="auto"/>
                <w:bottom w:val="none" w:sz="0" w:space="0" w:color="auto"/>
                <w:right w:val="none" w:sz="0" w:space="0" w:color="auto"/>
              </w:divBdr>
            </w:div>
            <w:div w:id="19529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ADVISORY</vt:lpstr>
    </vt:vector>
  </TitlesOfParts>
  <Company>Consulting Group</Company>
  <LinksUpToDate>false</LinksUpToDate>
  <CharactersWithSpaces>3375</CharactersWithSpaces>
  <SharedDoc>false</SharedDoc>
  <HLinks>
    <vt:vector size="54" baseType="variant">
      <vt:variant>
        <vt:i4>196648</vt:i4>
      </vt:variant>
      <vt:variant>
        <vt:i4>24</vt:i4>
      </vt:variant>
      <vt:variant>
        <vt:i4>0</vt:i4>
      </vt:variant>
      <vt:variant>
        <vt:i4>5</vt:i4>
      </vt:variant>
      <vt:variant>
        <vt:lpwstr>mailto:jmcgruder@bgcpartners.com</vt:lpwstr>
      </vt:variant>
      <vt:variant>
        <vt:lpwstr/>
      </vt:variant>
      <vt:variant>
        <vt:i4>1966118</vt:i4>
      </vt:variant>
      <vt:variant>
        <vt:i4>21</vt:i4>
      </vt:variant>
      <vt:variant>
        <vt:i4>0</vt:i4>
      </vt:variant>
      <vt:variant>
        <vt:i4>5</vt:i4>
      </vt:variant>
      <vt:variant>
        <vt:lpwstr>mailto:cwalters@bgcpartners.com</vt:lpwstr>
      </vt:variant>
      <vt:variant>
        <vt:lpwstr/>
      </vt:variant>
      <vt:variant>
        <vt:i4>917550</vt:i4>
      </vt:variant>
      <vt:variant>
        <vt:i4>18</vt:i4>
      </vt:variant>
      <vt:variant>
        <vt:i4>0</vt:i4>
      </vt:variant>
      <vt:variant>
        <vt:i4>5</vt:i4>
      </vt:variant>
      <vt:variant>
        <vt:lpwstr>mailto:fpanizza@bgcpartners.com</vt:lpwstr>
      </vt:variant>
      <vt:variant>
        <vt:lpwstr/>
      </vt:variant>
      <vt:variant>
        <vt:i4>2556008</vt:i4>
      </vt:variant>
      <vt:variant>
        <vt:i4>15</vt:i4>
      </vt:variant>
      <vt:variant>
        <vt:i4>0</vt:i4>
      </vt:variant>
      <vt:variant>
        <vt:i4>5</vt:i4>
      </vt:variant>
      <vt:variant>
        <vt:lpwstr>http://www.bgcpartners.com/</vt:lpwstr>
      </vt:variant>
      <vt:variant>
        <vt:lpwstr/>
      </vt:variant>
      <vt:variant>
        <vt:i4>2555949</vt:i4>
      </vt:variant>
      <vt:variant>
        <vt:i4>12</vt:i4>
      </vt:variant>
      <vt:variant>
        <vt:i4>0</vt:i4>
      </vt:variant>
      <vt:variant>
        <vt:i4>5</vt:i4>
      </vt:variant>
      <vt:variant>
        <vt:lpwstr>https://www.theconferencingservice.com/prereg/key.process?key=PRJENACCH</vt:lpwstr>
      </vt:variant>
      <vt:variant>
        <vt:lpwstr/>
      </vt:variant>
      <vt:variant>
        <vt:i4>2556008</vt:i4>
      </vt:variant>
      <vt:variant>
        <vt:i4>9</vt:i4>
      </vt:variant>
      <vt:variant>
        <vt:i4>0</vt:i4>
      </vt:variant>
      <vt:variant>
        <vt:i4>5</vt:i4>
      </vt:variant>
      <vt:variant>
        <vt:lpwstr>http://www.bgcpartners.com/</vt:lpwstr>
      </vt:variant>
      <vt:variant>
        <vt:lpwstr/>
      </vt:variant>
      <vt:variant>
        <vt:i4>7667756</vt:i4>
      </vt:variant>
      <vt:variant>
        <vt:i4>6</vt:i4>
      </vt:variant>
      <vt:variant>
        <vt:i4>0</vt:i4>
      </vt:variant>
      <vt:variant>
        <vt:i4>5</vt:i4>
      </vt:variant>
      <vt:variant>
        <vt:lpwstr>http://www.bgcpartners.com/ir-news</vt:lpwstr>
      </vt:variant>
      <vt:variant>
        <vt:lpwstr/>
      </vt:variant>
      <vt:variant>
        <vt:i4>5111879</vt:i4>
      </vt:variant>
      <vt:variant>
        <vt:i4>3</vt:i4>
      </vt:variant>
      <vt:variant>
        <vt:i4>0</vt:i4>
      </vt:variant>
      <vt:variant>
        <vt:i4>5</vt:i4>
      </vt:variant>
      <vt:variant>
        <vt:lpwstr>http://www.bgcpartners.com/ir</vt:lpwstr>
      </vt:variant>
      <vt:variant>
        <vt:lpwstr/>
      </vt:variant>
      <vt:variant>
        <vt:i4>2556008</vt:i4>
      </vt:variant>
      <vt:variant>
        <vt:i4>0</vt:i4>
      </vt:variant>
      <vt:variant>
        <vt:i4>0</vt:i4>
      </vt:variant>
      <vt:variant>
        <vt:i4>5</vt:i4>
      </vt:variant>
      <vt:variant>
        <vt:lpwstr>http://www.bgcpartners.com/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dc:title>
  <dc:creator>Amy Man</dc:creator>
  <cp:lastModifiedBy>Chryssicas, Jason</cp:lastModifiedBy>
  <cp:revision>4</cp:revision>
  <cp:lastPrinted>2013-11-08T19:57:00Z</cp:lastPrinted>
  <dcterms:created xsi:type="dcterms:W3CDTF">2013-11-11T16:22:00Z</dcterms:created>
  <dcterms:modified xsi:type="dcterms:W3CDTF">2013-11-11T21:43:00Z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gFAA9xAl/vizjZjXfhyn4YwvIHnyNxwDvApDmUjwXiNX4l95hzNS1AVR3qumcSfuaW2U2TW7NFi6a5L5
7LdnsBXML6Rnn4O4kMZ0pR5jyS/tT65avAfhz0DY9+l1cuXA4lXtDHXQzAu+mYYb7a9qP5KTXc9Y
zwL1RUBHqvlzEpYaHaLdd9Wo5utvW6yXevwoqaWqCpgrbm7PvCCtBu1IW2OPuxgyBR5Rzs1ZqWoV
RGuwIsi3mUBTzrIE1</vt:lpwstr>
  </property>
  <property fmtid="{D5CDD505-2E9C-101B-9397-08002B2CF9AE}" pid="3" name="MAIL_MSG_ID2">
    <vt:lpwstr>/7qKqUlxyVeC6kpOujMGClufmyO0BuvfOAIP5bARZTUaQ/2wbQrlLRqYxbc
V7aCcfMb4AdWPcryRvAt0UOEcQRrYP5pH7sDjQ==</vt:lpwstr>
  </property>
  <property fmtid="{D5CDD505-2E9C-101B-9397-08002B2CF9AE}" pid="4" name="RESPONSE_SENDER_NAME">
    <vt:lpwstr>sAAAE34RQVAK31nPmzpX/4mcuSbAjPpaz7b0S3AN8cjd1wU=</vt:lpwstr>
  </property>
  <property fmtid="{D5CDD505-2E9C-101B-9397-08002B2CF9AE}" pid="5" name="EMAIL_OWNER_ADDRESS">
    <vt:lpwstr>4AAA6DouqOs9baFfjdd28a3Q6ffViB/yKCb29O/7EeKPNriYgHw5P3R0kw==</vt:lpwstr>
  </property>
</Properties>
</file>